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1A: 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5,175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3,264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1,911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58.4 ± 17.7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17.2</w:t>
            </w:r>
          </w:p>
        </w:tc>
      </w:tr>
      <w:tr>
        <w:trPr>
          <w:trHeight w:val="5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 ± 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7.0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1,737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854 (45%)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1,527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2,009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1,271 (67%)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(4.4%)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(1.9%)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(11%)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1,374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 (20%)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 (8.4%)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 (16%)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(23%)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 (24%)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(5.4%)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 (10%)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 (29%)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1,628 (85%)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1B: 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5,175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3,730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1,445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59.5 ± 17.6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17.6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± 17.7</w:t>
            </w:r>
          </w:p>
        </w:tc>
      </w:tr>
      <w:tr>
        <w:trPr>
          <w:trHeight w:val="5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31.3 ± 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± 7.5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670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2,584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775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3,280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2,513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334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(7.8%)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(1.6%)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(17%)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(31%)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1,300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597 (41%)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 (9.8%)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684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(4.0%)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276 (19%)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479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3,465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2,483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982 (68%)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2026-04-24T06:37:33Z</dcterms:modified>
  <cp:category/>
</cp:coreProperties>
</file>