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780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825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521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565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647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396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16.8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18.4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16.5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57.2 ± 18.3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61.6 ± 16.3</w:t>
            </w:r>
          </w:p>
        </w:tc>
      </w:tr>
      <w:tr>
        <w:trPr>
          <w:trHeight w:val="5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 ± 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28.1 ± 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29.9 ± 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29.7 ± 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27.7 ± 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29.4 ± 8.6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 (43%)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453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308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 (57%)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556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325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(59%)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(21%)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 (5.3%)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(0.8%)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(12%)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306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 (35%)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(12%)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(10%)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(14%)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 (30%)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 (27%)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(6.6%)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(14%)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 (18%)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194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 (28%)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698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456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474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 (72%)</w:t>
            </w:r>
          </w:p>
        </w:tc>
      </w:tr>
      <w:tr>
        <w:trPr>
          <w:trHeight w:val="62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PaCO2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39.8 ± 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29.6 ± 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59.1 ±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PvCO2 (mmHg)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44.5 ± 3.0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33.1 ± 5.5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61.6 ± 13.6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2026-04-24T06:37:39Z</dcterms:modified>
  <cp:category/>
</cp:coreProperties>
</file>