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3,357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1,837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3,694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1,500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17.5; 0.0/5,194.0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17.9; 0.0/3,357.0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16.5; 0.0/1,837.0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17.5; 0.0/5,194.0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17.6; 0.0/3,694.0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59.1 ± 17.4; 0.0/1,500.0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 ± 8.4; 2,914.0/5,194.0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32.4 ± 8.8; 1,841.0/3,357.0 missing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7.1; 1,073.0/1,837.0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31.4 ± 8.4; 2,914.0/5,194.0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32.1 ± 8.5; 1,928.0/3,694.0 missing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7.6; 986.0/1,500.0 missing (65.7%)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2,602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1,902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700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1,572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1,020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1,792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800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3,201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2,036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3,201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2,422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779 (52%)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310 (21%)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 (7.5%)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(2.2%)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 (16%)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1,042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2,445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1,967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 (32%)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611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(9.5%)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1,079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251 (17%)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207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(19%)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(3.3%)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302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1,502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483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1,781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494 (33%)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3,413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1,542 (84%)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3,413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2,407 (65%)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1,006 (67%)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2026-03-01T13:20:56Z</dcterms:modified>
  <cp:category/>
</cp:coreProperties>
</file>