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16,490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9,362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0.0/16,490.0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 ± 16.9; 0.0/9,362.0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32.5 ± 8.7; 9,223.0/16,490.0 missing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5,500.0/9,362.0 missing (58.7%)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8,598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4,218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5,144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10,061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6,090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1,387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1,091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5,171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4,707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1,831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1,577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1,455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1,086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2,052 (22%)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2,104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 (4.6%)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897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4,838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2,776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7,055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1,451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9,435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7,911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7,460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0.0/18,392.0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17.7; 0.0/7,460.0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8.5; 9,691.0/18,392.0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7.5; 5,032.0/7,460.0 missing (67.5%)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3,485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3,975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12,190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3,961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3,109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(7.0%)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1,297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2,251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3,180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1,344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3,596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1,493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(9.7%)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1,543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2,323 (31%)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(69%)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2026-02-05T11:07:06Z</dcterms:modified>
  <cp:category/>
</cp:coreProperties>
</file>