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16.9; 0.0/4,229.0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60.4 ± 17.4; 0.0/2,488.0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62.0 ± 16.3; 0.0/2,645.0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18.0; 0.0/3,427.0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17.7; 0.0/2,058.0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16.8; 0.0/1,975.0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2,440.0/4,229.0 missing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28.3 ± 6.8; 1,493.0/2,488.0 missing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7.6; 1,567.0/2,645.0 missing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 ± 7.3; 2,398.0/3,427.0 missing (70.0%)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7.1; 1,247.0/2,058.0 missing (60.6%)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8.2; 1,387.0/1,975.0 missing (70.2%)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1,217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2,351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1,365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1,085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2,742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1,510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1,838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1,825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1,121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395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(5.1%)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(1.8%)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311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2,334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1,399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1,106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636 (32%)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880 (45%)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 (11%)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596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(4.4%)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654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3,602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2,143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2,166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1,472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1,411 (71%)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0.0/4,229.0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4.4; 0.0/2,488.0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20.6; 0.0/2,645.0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44.6 ± 3.0; 0.0/3,427.0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0.0/2,058.0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13.5; 0.0/1,975.0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2026-02-04T19:16:17Z</dcterms:modified>
  <cp:category/>
</cp:coreProperties>
</file>