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Response to the Editor and Reviewers</w:t>
      </w:r>
      <w:r w:rsidDel="00000000" w:rsidR="00000000" w:rsidRPr="00000000">
        <w:rPr>
          <w:rtl w:val="0"/>
        </w:rPr>
      </w:r>
    </w:p>
    <w:p w:rsidR="00000000" w:rsidDel="00000000" w:rsidP="00000000" w:rsidRDefault="00000000" w:rsidRPr="00000000" w14:paraId="00000002">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Manuscript title: Estimation of Medical Diagnostic Likelihood Ratios Using Artificial Intelligence</w:t>
      </w:r>
    </w:p>
    <w:p w:rsidR="00000000" w:rsidDel="00000000" w:rsidP="00000000" w:rsidRDefault="00000000" w:rsidRPr="00000000" w14:paraId="00000003">
      <w:pPr>
        <w:spacing w:after="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Editor and Reviewers,</w:t>
      </w:r>
    </w:p>
    <w:p w:rsidR="00000000" w:rsidDel="00000000" w:rsidP="00000000" w:rsidRDefault="00000000" w:rsidRPr="00000000" w14:paraId="0000000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the opportunity to revise. We have revised the manuscript to address all editor and reviewer comments, including clarifying study scope, improving methodological transparency, strengthening limitations, especially around context and spectrum dependence, and moderating conclusions to reflect that LLM-derived LRs are not interchangeable with empiric estimates for high-stakes individual decisions. We also clarified our statistical approach and expanded discussion of interpretability and uncertainty.</w:t>
      </w:r>
    </w:p>
    <w:p w:rsidR="00000000" w:rsidDel="00000000" w:rsidP="00000000" w:rsidRDefault="00000000" w:rsidRPr="00000000" w14:paraId="00000005">
      <w:pPr>
        <w:spacing w:after="12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Reviewer 1</w:t>
      </w:r>
      <w:r w:rsidDel="00000000" w:rsidR="00000000" w:rsidRPr="00000000">
        <w:rPr>
          <w:rtl w:val="0"/>
        </w:rPr>
      </w:r>
    </w:p>
    <w:p w:rsidR="00000000" w:rsidDel="00000000" w:rsidP="00000000" w:rsidRDefault="00000000" w:rsidRPr="00000000" w14:paraId="00000006">
      <w:pPr>
        <w:spacing w:after="80" w:before="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Comment 1</w:t>
      </w:r>
      <w:r w:rsidDel="00000000" w:rsidR="00000000" w:rsidRPr="00000000">
        <w:rPr>
          <w:rtl w:val="0"/>
        </w:rPr>
      </w:r>
    </w:p>
    <w:p w:rsidR="00000000" w:rsidDel="00000000" w:rsidP="00000000" w:rsidRDefault="00000000" w:rsidRPr="00000000" w14:paraId="00000007">
      <w:pPr>
        <w:spacing w:after="8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authors use limits of agreement as the main analytical strategy. They observe limits of agreement in the magnitude of factors of 4 around the mean. They do not provide any rationale or argument why a factor of 4 should be regarded as an acceptable degree of agreement. The following argument illustrates, why a factor of 4 should be regarded as unacceptable: Assume a patient with a pre-test probability of 0.5. An LR of 1.0 would imply a post-test probability of 0.5. An LR of 4.0 would imply a post-test probability of 0.8. This would mean a huge difference for decision making!”</w:t>
      </w:r>
      <w:r w:rsidDel="00000000" w:rsidR="00000000" w:rsidRPr="00000000">
        <w:rPr>
          <w:rtl w:val="0"/>
        </w:rPr>
      </w:r>
    </w:p>
    <w:p w:rsidR="00000000" w:rsidDel="00000000" w:rsidP="00000000" w:rsidRDefault="00000000" w:rsidRPr="00000000" w14:paraId="00000008">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 </w:t>
      </w:r>
      <w:r w:rsidDel="00000000" w:rsidR="00000000" w:rsidRPr="00000000">
        <w:rPr>
          <w:rFonts w:ascii="Times New Roman" w:cs="Times New Roman" w:eastAsia="Times New Roman" w:hAnsi="Times New Roman"/>
          <w:sz w:val="24"/>
          <w:szCs w:val="24"/>
          <w:rtl w:val="0"/>
        </w:rPr>
        <w:t xml:space="preserve">Thank you, we agree. A several-fold LR discrepancy can meaningfully shift post-test probabilities and may be unacceptable for many high-stakes, single-finding clinical decisions. We have revised the manuscript to avoid implying that our observed limits of agreement are acceptable in a general sense or that LLM-derived LRs could replace empiric diagnostic accuracy studies. Instead, we clarify that the multiplicative limits of agreement quantify non-interchangeability between LLM-derived and literature-reported LRs, and that tolerability is use-case dependent and should be judged by downstream impact on decision thresholds. To make this explicit, we added an illustrative Bayes update example in the Discussion demonstrating how the observed agreement range could alter post-test probabilities for common pre-test probabilities. We also strengthened the limitations to emphasize that part of the observed dispersion likely reflects unmeasured differences in clinical context and patient spectrum across the underlying studies, which cannot be fully specified from the available inputs.</w:t>
      </w:r>
      <w:r w:rsidDel="00000000" w:rsidR="00000000" w:rsidRPr="00000000">
        <w:rPr>
          <w:rtl w:val="0"/>
        </w:rPr>
      </w:r>
    </w:p>
    <w:p w:rsidR="00000000" w:rsidDel="00000000" w:rsidP="00000000" w:rsidRDefault="00000000" w:rsidRPr="00000000" w14:paraId="00000009">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 in manuscript: </w:t>
      </w:r>
      <w:r w:rsidDel="00000000" w:rsidR="00000000" w:rsidRPr="00000000">
        <w:rPr>
          <w:rFonts w:ascii="Times New Roman" w:cs="Times New Roman" w:eastAsia="Times New Roman" w:hAnsi="Times New Roman"/>
          <w:sz w:val="24"/>
          <w:szCs w:val="24"/>
          <w:rtl w:val="0"/>
        </w:rPr>
        <w:t xml:space="preserve">Abstract, Discussion, Conclusion.</w:t>
      </w:r>
    </w:p>
    <w:p w:rsidR="00000000" w:rsidDel="00000000" w:rsidP="00000000" w:rsidRDefault="00000000" w:rsidRPr="00000000" w14:paraId="0000000A">
      <w:pPr>
        <w:spacing w:after="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 now reads: </w:t>
      </w:r>
    </w:p>
    <w:p w:rsidR="00000000" w:rsidDel="00000000" w:rsidP="00000000" w:rsidRDefault="00000000" w:rsidRPr="00000000" w14:paraId="0000000B">
      <w:pPr>
        <w:spacing w:after="40"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C">
      <w:pPr>
        <w:spacing w:after="120" w:before="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low mean bias, limits of agreement were wide, indicating that LLM-derived LRs are not interchangeable with published estimates for individual high-stakes decisions and would require context-specific validation before any clinical use.”</w:t>
      </w:r>
    </w:p>
    <w:p w:rsidR="00000000" w:rsidDel="00000000" w:rsidP="00000000" w:rsidRDefault="00000000" w:rsidRPr="00000000" w14:paraId="0000000D">
      <w:pPr>
        <w:spacing w:after="120" w:before="40"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p>
    <w:p w:rsidR="00000000" w:rsidDel="00000000" w:rsidP="00000000" w:rsidRDefault="00000000" w:rsidRPr="00000000" w14:paraId="0000000E">
      <w:pPr>
        <w:spacing w:after="120" w:before="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“Collectively, these findings indicate that LLMs can output inspectable LR estimates that are compatible with Bayesian updating; however, the observed several-fold dispersion means individual estimates may not be clinically consequential, so these outputs should be interpreted as approximate and require prospective, context-anchored validation before use in high-stakes decisions. For example, with a pre-test probability of 0.50, an LR of 1.0 leaves the post-test probability at 0.50, whereas an LR of 4.0 raises it to 0.80. Therefore, several-fold disagreement may be unacceptable when a single finding drives a threshold decision (e.g., treat vs. do not treat). In contrast, when multiple independent findings are combined, the negligible mean bias observed here suggests that aggregate updating may remain approximately unbiased, though precision remains a critical limitation.”</w:t>
      </w:r>
    </w:p>
    <w:p w:rsidR="00000000" w:rsidDel="00000000" w:rsidP="00000000" w:rsidRDefault="00000000" w:rsidRPr="00000000" w14:paraId="0000000F">
      <w:pPr>
        <w:spacing w:after="120" w:before="40"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10">
      <w:pPr>
        <w:spacing w:after="120" w:before="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capability of models to approximate existing, literature-reported diagnostic information suggests a potential role in education and hypothesis generation, and as a prior input for future diagnostic-accuracy studies. However, given several-fold dispersion and limited context conditioning in this study, these estimates should not be used as stand-alone inputs for high-stakes clinical decisions without prospective validation”</w:t>
      </w:r>
    </w:p>
    <w:p w:rsidR="00000000" w:rsidDel="00000000" w:rsidP="00000000" w:rsidRDefault="00000000" w:rsidRPr="00000000" w14:paraId="00000011">
      <w:pPr>
        <w:spacing w:after="80" w:before="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Comment 2</w:t>
      </w:r>
      <w:r w:rsidDel="00000000" w:rsidR="00000000" w:rsidRPr="00000000">
        <w:rPr>
          <w:rtl w:val="0"/>
        </w:rPr>
      </w:r>
    </w:p>
    <w:p w:rsidR="00000000" w:rsidDel="00000000" w:rsidP="00000000" w:rsidRDefault="00000000" w:rsidRPr="00000000" w14:paraId="00000012">
      <w:pPr>
        <w:spacing w:after="8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theNNT.com database includes for each study a positive and a negative LR. No information is given about how these two values entered the analyses and how this distinction was taken into account.”</w:t>
      </w:r>
      <w:r w:rsidDel="00000000" w:rsidR="00000000" w:rsidRPr="00000000">
        <w:rPr>
          <w:rtl w:val="0"/>
        </w:rPr>
      </w:r>
    </w:p>
    <w:p w:rsidR="00000000" w:rsidDel="00000000" w:rsidP="00000000" w:rsidRDefault="00000000" w:rsidRPr="00000000" w14:paraId="00000013">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 </w:t>
      </w:r>
      <w:r w:rsidDel="00000000" w:rsidR="00000000" w:rsidRPr="00000000">
        <w:rPr>
          <w:rFonts w:ascii="Gungsuh" w:cs="Gungsuh" w:eastAsia="Gungsuh" w:hAnsi="Gungsuh"/>
          <w:sz w:val="24"/>
          <w:szCs w:val="24"/>
          <w:rtl w:val="0"/>
        </w:rPr>
        <w:t xml:space="preserve">Thank you, we clarified this in the Methods. TheNNT entries include likelihood ratios corresponding to either presence of a finding (commonly termed LR+) or absence/negative findings (commonly termed LR−). In our dataset, we treated each TheNNT value as a separate finding–condition pair; LR− values were represented as natural-language findings that explicitly denote absence or a negative test result (e.g., “no RLQ tenderness,” “screen negative”). We analyzed agreement across all 700 pairs and also prespecified subgroup analyses by evidence direction (LRReported &gt; 1 vs &lt; 1).</w:t>
      </w:r>
      <w:r w:rsidDel="00000000" w:rsidR="00000000" w:rsidRPr="00000000">
        <w:rPr>
          <w:rtl w:val="0"/>
        </w:rPr>
      </w:r>
    </w:p>
    <w:p w:rsidR="00000000" w:rsidDel="00000000" w:rsidP="00000000" w:rsidRDefault="00000000" w:rsidRPr="00000000" w14:paraId="00000014">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 in manuscript: </w:t>
      </w:r>
      <w:r w:rsidDel="00000000" w:rsidR="00000000" w:rsidRPr="00000000">
        <w:rPr>
          <w:rFonts w:ascii="Times New Roman" w:cs="Times New Roman" w:eastAsia="Times New Roman" w:hAnsi="Times New Roman"/>
          <w:sz w:val="24"/>
          <w:szCs w:val="24"/>
          <w:rtl w:val="0"/>
        </w:rPr>
        <w:t xml:space="preserve">Methods (Data Sources Paragraph)</w:t>
      </w:r>
      <w:r w:rsidDel="00000000" w:rsidR="00000000" w:rsidRPr="00000000">
        <w:rPr>
          <w:rtl w:val="0"/>
        </w:rPr>
      </w:r>
    </w:p>
    <w:p w:rsidR="00000000" w:rsidDel="00000000" w:rsidP="00000000" w:rsidRDefault="00000000" w:rsidRPr="00000000" w14:paraId="00000015">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 now reads: </w:t>
      </w:r>
      <w:r w:rsidDel="00000000" w:rsidR="00000000" w:rsidRPr="00000000">
        <w:rPr>
          <w:rtl w:val="0"/>
        </w:rPr>
      </w:r>
    </w:p>
    <w:p w:rsidR="00000000" w:rsidDel="00000000" w:rsidP="00000000" w:rsidRDefault="00000000" w:rsidRPr="00000000" w14:paraId="00000016">
      <w:pPr>
        <w:spacing w:after="120" w:before="40" w:line="276" w:lineRule="auto"/>
        <w:ind w:left="432"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“On April 1, 2025, we compiled a reference-standard dataset of all likelihood ratios (LRReported) from theNNT.com, a curated repository of diagnostic likelihood ratios from the published medical literature. When theNNT reported both LR+ and LR− for a given finding, we treated them as separate condition–finding entries corresponding to the finding being present/positive (LR+) versus absent/negative (LR−); both are strictly positive quantities (LR− values are typically &lt;1). Where theNNT finding text included a specific modality (e.g., CT vs ultrasound) or a test name (e.g., D-dimer), we retained that information verbatim in the ‘Finding’ field. We did not inject additional assay thresholds or operational definitions when such details were not present in the source entry. For each condition, a point estimate of each LR was recorded directly or, when only a range was provided, derived as the geometric mean (e.g., “1–2” recorded as 1.41; “1.5 [95% CI 1–2]” recorded as 1.5).”</w:t>
      </w:r>
    </w:p>
    <w:p w:rsidR="00000000" w:rsidDel="00000000" w:rsidP="00000000" w:rsidRDefault="00000000" w:rsidRPr="00000000" w14:paraId="00000017">
      <w:pPr>
        <w:spacing w:after="80" w:before="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Comment 3</w:t>
      </w:r>
      <w:r w:rsidDel="00000000" w:rsidR="00000000" w:rsidRPr="00000000">
        <w:rPr>
          <w:rtl w:val="0"/>
        </w:rPr>
      </w:r>
    </w:p>
    <w:p w:rsidR="00000000" w:rsidDel="00000000" w:rsidP="00000000" w:rsidRDefault="00000000" w:rsidRPr="00000000" w14:paraId="00000018">
      <w:pPr>
        <w:spacing w:after="8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prompt used by the authors refers to a positive LR. It remains unclear how the authors imagine to find also negative LRs this way.”</w:t>
      </w:r>
      <w:r w:rsidDel="00000000" w:rsidR="00000000" w:rsidRPr="00000000">
        <w:rPr>
          <w:rtl w:val="0"/>
        </w:rPr>
      </w:r>
    </w:p>
    <w:p w:rsidR="00000000" w:rsidDel="00000000" w:rsidP="00000000" w:rsidRDefault="00000000" w:rsidRPr="00000000" w14:paraId="00000019">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 </w:t>
      </w:r>
      <w:r w:rsidDel="00000000" w:rsidR="00000000" w:rsidRPr="00000000">
        <w:rPr>
          <w:rFonts w:ascii="Gungsuh" w:cs="Gungsuh" w:eastAsia="Gungsuh" w:hAnsi="Gungsuh"/>
          <w:sz w:val="24"/>
          <w:szCs w:val="24"/>
          <w:rtl w:val="0"/>
        </w:rPr>
        <w:t xml:space="preserve">We agree the manuscript should clarify terminology. LR− values are not “negative numbers”; they are positive values less than 1 that correspond to absence/negative test results. Our prompt estimates an LR for whatever natural-language “Finding” is provided. When the finding denotes absence or a negative test result, the expected LR is &lt;1. We added explicit examples and wording to avoid confusion.</w:t>
      </w:r>
      <w:r w:rsidDel="00000000" w:rsidR="00000000" w:rsidRPr="00000000">
        <w:rPr>
          <w:rtl w:val="0"/>
        </w:rPr>
      </w:r>
    </w:p>
    <w:p w:rsidR="00000000" w:rsidDel="00000000" w:rsidP="00000000" w:rsidRDefault="00000000" w:rsidRPr="00000000" w14:paraId="0000001A">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 in manuscript: </w:t>
      </w:r>
      <w:r w:rsidDel="00000000" w:rsidR="00000000" w:rsidRPr="00000000">
        <w:rPr>
          <w:rFonts w:ascii="Times New Roman" w:cs="Times New Roman" w:eastAsia="Times New Roman" w:hAnsi="Times New Roman"/>
          <w:sz w:val="24"/>
          <w:szCs w:val="24"/>
          <w:rtl w:val="0"/>
        </w:rPr>
        <w:t xml:space="preserve">Methods (Data Sources and Comparator Likelihood Ratios Paragraphs)</w:t>
      </w:r>
      <w:r w:rsidDel="00000000" w:rsidR="00000000" w:rsidRPr="00000000">
        <w:rPr>
          <w:rtl w:val="0"/>
        </w:rPr>
      </w:r>
    </w:p>
    <w:p w:rsidR="00000000" w:rsidDel="00000000" w:rsidP="00000000" w:rsidRDefault="00000000" w:rsidRPr="00000000" w14:paraId="0000001B">
      <w:pPr>
        <w:spacing w:after="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 now reads: </w:t>
      </w:r>
    </w:p>
    <w:p w:rsidR="00000000" w:rsidDel="00000000" w:rsidP="00000000" w:rsidRDefault="00000000" w:rsidRPr="00000000" w14:paraId="0000001C">
      <w:pPr>
        <w:spacing w:after="40"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Sources:</w:t>
      </w:r>
    </w:p>
    <w:p w:rsidR="00000000" w:rsidDel="00000000" w:rsidP="00000000" w:rsidRDefault="00000000" w:rsidRPr="00000000" w14:paraId="0000001D">
      <w:pPr>
        <w:spacing w:after="120" w:before="40" w:line="276" w:lineRule="auto"/>
        <w:ind w:left="72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“On April 1, 2025, we compiled a reference-standard dataset of all likelihood ratios (LRReported) from theNNT.com, a curated repository of diagnostic likelihood ratios from the published medical literature. When theNNT reported both LR+ and LR− for a given finding, we treated them as separate condition–finding entries corresponding to the finding being present/positive (LR+) versus absent/negative (LR−); both are strictly positive quantities (LR− values are typically &lt;1). Where theNNT finding text included a specific modality (e.g., CT vs ultrasound) or a test name (e.g., D-dimer), we retained that information verbatim in the ‘Finding’ field. We did not inject additional assay thresholds or operational definitions when such details were not present in the source entry. For each condition, a point estimate of each LR was recorded directly or, when only a range was provided, derived as the geometric mean (e.g., “1–2” recorded as 1.41; “1.5 [95% CI 1–2]” recorded as 1.5).”</w:t>
      </w:r>
    </w:p>
    <w:p w:rsidR="00000000" w:rsidDel="00000000" w:rsidP="00000000" w:rsidRDefault="00000000" w:rsidRPr="00000000" w14:paraId="0000001E">
      <w:pPr>
        <w:spacing w:after="120" w:before="40"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Comparator Likelihood Ratios:</w:t>
      </w:r>
    </w:p>
    <w:p w:rsidR="00000000" w:rsidDel="00000000" w:rsidP="00000000" w:rsidRDefault="00000000" w:rsidRPr="00000000" w14:paraId="0000001F">
      <w:pPr>
        <w:spacing w:after="120" w:before="40" w:line="276" w:lineRule="auto"/>
        <w:ind w:left="72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structured output schema required a single finite numeric LR (&gt;0); because both LR+ and LR− are strictly positive quantities (LR− values are typically &lt;1, not negative), any non-numeric, non-finite, or non-positive outputs were rejected and the model was re-queried until a valid value was returned.”</w:t>
      </w:r>
      <w:r w:rsidDel="00000000" w:rsidR="00000000" w:rsidRPr="00000000">
        <w:rPr>
          <w:rtl w:val="0"/>
        </w:rPr>
      </w:r>
    </w:p>
    <w:p w:rsidR="00000000" w:rsidDel="00000000" w:rsidP="00000000" w:rsidRDefault="00000000" w:rsidRPr="00000000" w14:paraId="00000020">
      <w:pPr>
        <w:spacing w:after="80" w:before="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Comment 4</w:t>
      </w:r>
      <w:r w:rsidDel="00000000" w:rsidR="00000000" w:rsidRPr="00000000">
        <w:rPr>
          <w:rtl w:val="0"/>
        </w:rPr>
      </w:r>
    </w:p>
    <w:p w:rsidR="00000000" w:rsidDel="00000000" w:rsidP="00000000" w:rsidRDefault="00000000" w:rsidRPr="00000000" w14:paraId="00000021">
      <w:pPr>
        <w:spacing w:after="8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The result about a lack of bias is probably due to mixing positive and negative LR values. A stratified analysis may yield different results.”</w:t>
      </w:r>
      <w:r w:rsidDel="00000000" w:rsidR="00000000" w:rsidRPr="00000000">
        <w:rPr>
          <w:rtl w:val="0"/>
        </w:rPr>
      </w:r>
    </w:p>
    <w:p w:rsidR="00000000" w:rsidDel="00000000" w:rsidP="00000000" w:rsidRDefault="00000000" w:rsidRPr="00000000" w14:paraId="00000022">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 </w:t>
      </w:r>
      <w:r w:rsidDel="00000000" w:rsidR="00000000" w:rsidRPr="00000000">
        <w:rPr>
          <w:rFonts w:ascii="Times New Roman" w:cs="Times New Roman" w:eastAsia="Times New Roman" w:hAnsi="Times New Roman"/>
          <w:sz w:val="24"/>
          <w:szCs w:val="24"/>
          <w:rtl w:val="0"/>
        </w:rPr>
        <w:t xml:space="preserve">Thank you. We agree stratification is important and we already performed prespecified analyses by evidence direction and calibration on the log scale. Specifically, we report direction-stratified mean bias (LRReported &lt;1 vs &gt;1) and calibration slopes indicating mild shrinkage toward less-extreme values across models. We clarified this in the Results and point readers to the corresponding supplemental figure (Supplemental figure 1).</w:t>
      </w:r>
      <w:r w:rsidDel="00000000" w:rsidR="00000000" w:rsidRPr="00000000">
        <w:rPr>
          <w:rtl w:val="0"/>
        </w:rPr>
      </w:r>
    </w:p>
    <w:p w:rsidR="00000000" w:rsidDel="00000000" w:rsidP="00000000" w:rsidRDefault="00000000" w:rsidRPr="00000000" w14:paraId="00000023">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 in manuscript: </w:t>
      </w:r>
      <w:r w:rsidDel="00000000" w:rsidR="00000000" w:rsidRPr="00000000">
        <w:rPr>
          <w:rFonts w:ascii="Times New Roman" w:cs="Times New Roman" w:eastAsia="Times New Roman" w:hAnsi="Times New Roman"/>
          <w:sz w:val="24"/>
          <w:szCs w:val="24"/>
          <w:rtl w:val="0"/>
        </w:rPr>
        <w:t xml:space="preserve">Results (5th Paragraph)</w:t>
      </w:r>
    </w:p>
    <w:p w:rsidR="00000000" w:rsidDel="00000000" w:rsidP="00000000" w:rsidRDefault="00000000" w:rsidRPr="00000000" w14:paraId="00000024">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 now reads: </w:t>
      </w:r>
      <w:r w:rsidDel="00000000" w:rsidR="00000000" w:rsidRPr="00000000">
        <w:rPr>
          <w:rtl w:val="0"/>
        </w:rPr>
      </w:r>
    </w:p>
    <w:p w:rsidR="00000000" w:rsidDel="00000000" w:rsidP="00000000" w:rsidRDefault="00000000" w:rsidRPr="00000000" w14:paraId="00000025">
      <w:pPr>
        <w:spacing w:after="120" w:before="40" w:line="276"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analyzed by the direction of evidence, patterns differed between models (Supplemental Figure 1). Taken together, these analyses suggest that the overall mean bias is not an artifact of mixing LR&gt;1 and LR&lt;1 pairs. ”</w:t>
      </w:r>
    </w:p>
    <w:p w:rsidR="00000000" w:rsidDel="00000000" w:rsidP="00000000" w:rsidRDefault="00000000" w:rsidRPr="00000000" w14:paraId="00000026">
      <w:pPr>
        <w:spacing w:after="80" w:before="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Comment 5</w:t>
      </w:r>
      <w:r w:rsidDel="00000000" w:rsidR="00000000" w:rsidRPr="00000000">
        <w:rPr>
          <w:rtl w:val="0"/>
        </w:rPr>
      </w:r>
    </w:p>
    <w:p w:rsidR="00000000" w:rsidDel="00000000" w:rsidP="00000000" w:rsidRDefault="00000000" w:rsidRPr="00000000" w14:paraId="00000027">
      <w:pPr>
        <w:spacing w:after="8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prompt used by the authors remains very unclear. What is the actual input for «condition/diagnosis » and « finding » ? Simply « + » and « -« ?”</w:t>
      </w:r>
      <w:r w:rsidDel="00000000" w:rsidR="00000000" w:rsidRPr="00000000">
        <w:rPr>
          <w:rtl w:val="0"/>
        </w:rPr>
      </w:r>
    </w:p>
    <w:p w:rsidR="00000000" w:rsidDel="00000000" w:rsidP="00000000" w:rsidRDefault="00000000" w:rsidRPr="00000000" w14:paraId="00000028">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 </w:t>
      </w:r>
      <w:r w:rsidDel="00000000" w:rsidR="00000000" w:rsidRPr="00000000">
        <w:rPr>
          <w:rFonts w:ascii="Gungsuh" w:cs="Gungsuh" w:eastAsia="Gungsuh" w:hAnsi="Gungsuh"/>
          <w:sz w:val="24"/>
          <w:szCs w:val="24"/>
          <w:rtl w:val="0"/>
        </w:rPr>
        <w:t xml:space="preserve">Thank you. ​​The model inputs are plain-text clinical strings (not “+”/“−” flags): “Condition: &lt;diagnosis&gt;” and “Finding: &lt;finding&gt;”. Findings are written in natural language and include whether the finding is present/absent or test positive/negative. We added representative examples to the Methods.</w:t>
      </w:r>
      <w:r w:rsidDel="00000000" w:rsidR="00000000" w:rsidRPr="00000000">
        <w:rPr>
          <w:rtl w:val="0"/>
        </w:rPr>
      </w:r>
    </w:p>
    <w:p w:rsidR="00000000" w:rsidDel="00000000" w:rsidP="00000000" w:rsidRDefault="00000000" w:rsidRPr="00000000" w14:paraId="00000029">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 in manuscript: </w:t>
      </w:r>
      <w:r w:rsidDel="00000000" w:rsidR="00000000" w:rsidRPr="00000000">
        <w:rPr>
          <w:rFonts w:ascii="Times New Roman" w:cs="Times New Roman" w:eastAsia="Times New Roman" w:hAnsi="Times New Roman"/>
          <w:sz w:val="24"/>
          <w:szCs w:val="24"/>
          <w:rtl w:val="0"/>
        </w:rPr>
        <w:t xml:space="preserve">Methods (Comparator Likelihood Ratios Paragraph”</w:t>
      </w:r>
      <w:r w:rsidDel="00000000" w:rsidR="00000000" w:rsidRPr="00000000">
        <w:rPr>
          <w:rtl w:val="0"/>
        </w:rPr>
      </w:r>
    </w:p>
    <w:p w:rsidR="00000000" w:rsidDel="00000000" w:rsidP="00000000" w:rsidRDefault="00000000" w:rsidRPr="00000000" w14:paraId="0000002A">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 now reads: </w:t>
      </w:r>
      <w:r w:rsidDel="00000000" w:rsidR="00000000" w:rsidRPr="00000000">
        <w:rPr>
          <w:rtl w:val="0"/>
        </w:rPr>
      </w:r>
    </w:p>
    <w:p w:rsidR="00000000" w:rsidDel="00000000" w:rsidP="00000000" w:rsidRDefault="00000000" w:rsidRPr="00000000" w14:paraId="0000002B">
      <w:pPr>
        <w:spacing w:after="120" w:before="40" w:line="276" w:lineRule="auto"/>
        <w:ind w:left="432"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prompt was designed by a single author (BWL) and is fully described in the supplement. In brief, the system prompt defined the LR, ‘P(finding | diagnosis) / P(finding | not diagnosis)’, gave qualitative LR strength descriptions3. The model input consisted of a plain-text pair: ‘Condition: &lt;diagnosis&gt;’ and ‘Finding: &lt;clinical finding text&gt;’; these were not encoded as ‘+’ or ‘−’ symbols. The structured output schema required a single finite numeric LR (&gt;0); because both LR+ and LR− are strictly positive quantities (LR− values are typically &lt;1, not negative), any non-numeric, non-finite, or non-positive outputs were rejected and the model was re-queried until a valid value was returned. Example inputs include: ‘Condition: pulmonary embolism / Finding: tachycardia &gt;100 bpm’ and ‘Condition: appendicitis / Finding: no RLQ tenderness.’. When applicable, the finding text includes the diagnostic modality (e.g., ultrasound, imaging, laboratory assay), consistent with how TheNNT summarizes the underlying studies.”</w:t>
      </w:r>
    </w:p>
    <w:p w:rsidR="00000000" w:rsidDel="00000000" w:rsidP="00000000" w:rsidRDefault="00000000" w:rsidRPr="00000000" w14:paraId="0000002C">
      <w:pPr>
        <w:spacing w:after="80" w:before="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Comment 6</w:t>
      </w:r>
      <w:r w:rsidDel="00000000" w:rsidR="00000000" w:rsidRPr="00000000">
        <w:rPr>
          <w:rtl w:val="0"/>
        </w:rPr>
      </w:r>
    </w:p>
    <w:p w:rsidR="00000000" w:rsidDel="00000000" w:rsidP="00000000" w:rsidRDefault="00000000" w:rsidRPr="00000000" w14:paraId="0000002D">
      <w:pPr>
        <w:spacing w:after="8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“LR values refer to a specific test or a specific diagnostic modality. It remains unclear how this information was included in the prompt.”</w:t>
      </w:r>
      <w:r w:rsidDel="00000000" w:rsidR="00000000" w:rsidRPr="00000000">
        <w:rPr>
          <w:rtl w:val="0"/>
        </w:rPr>
      </w:r>
    </w:p>
    <w:p w:rsidR="00000000" w:rsidDel="00000000" w:rsidP="00000000" w:rsidRDefault="00000000" w:rsidRPr="00000000" w14:paraId="0000002E">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 </w:t>
      </w:r>
      <w:r w:rsidDel="00000000" w:rsidR="00000000" w:rsidRPr="00000000">
        <w:rPr>
          <w:rFonts w:ascii="Times New Roman" w:cs="Times New Roman" w:eastAsia="Times New Roman" w:hAnsi="Times New Roman"/>
          <w:sz w:val="24"/>
          <w:szCs w:val="24"/>
          <w:rtl w:val="0"/>
        </w:rPr>
        <w:t xml:space="preserve">Agreed. Test modality is embedded in the finding text (e.g., “noncompressible on ultrasound”). We clarified this explicitly and added examples.</w:t>
      </w:r>
      <w:r w:rsidDel="00000000" w:rsidR="00000000" w:rsidRPr="00000000">
        <w:rPr>
          <w:rtl w:val="0"/>
        </w:rPr>
      </w:r>
    </w:p>
    <w:p w:rsidR="00000000" w:rsidDel="00000000" w:rsidP="00000000" w:rsidRDefault="00000000" w:rsidRPr="00000000" w14:paraId="0000002F">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 in manuscript: </w:t>
      </w:r>
      <w:r w:rsidDel="00000000" w:rsidR="00000000" w:rsidRPr="00000000">
        <w:rPr>
          <w:rFonts w:ascii="Times New Roman" w:cs="Times New Roman" w:eastAsia="Times New Roman" w:hAnsi="Times New Roman"/>
          <w:sz w:val="24"/>
          <w:szCs w:val="24"/>
          <w:rtl w:val="0"/>
        </w:rPr>
        <w:t xml:space="preserve">Methods (Data Sources and Comparator Likelihood Ratios Paragraphs)</w:t>
      </w:r>
      <w:r w:rsidDel="00000000" w:rsidR="00000000" w:rsidRPr="00000000">
        <w:rPr>
          <w:rtl w:val="0"/>
        </w:rPr>
      </w:r>
    </w:p>
    <w:p w:rsidR="00000000" w:rsidDel="00000000" w:rsidP="00000000" w:rsidRDefault="00000000" w:rsidRPr="00000000" w14:paraId="00000030">
      <w:pPr>
        <w:spacing w:after="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 now reads: </w:t>
      </w:r>
    </w:p>
    <w:p w:rsidR="00000000" w:rsidDel="00000000" w:rsidP="00000000" w:rsidRDefault="00000000" w:rsidRPr="00000000" w14:paraId="00000031">
      <w:pPr>
        <w:spacing w:after="40"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Sources:</w:t>
      </w:r>
    </w:p>
    <w:p w:rsidR="00000000" w:rsidDel="00000000" w:rsidP="00000000" w:rsidRDefault="00000000" w:rsidRPr="00000000" w14:paraId="00000032">
      <w:pPr>
        <w:spacing w:after="120" w:before="40" w:line="276" w:lineRule="auto"/>
        <w:ind w:left="72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“On April 1, 2025, we compiled a reference-standard dataset of all likelihood ratios (LRReported) from theNNT.com, a curated repository of diagnostic likelihood ratios from the published medical literature. When theNNT reported both LR+ and LR− for a given finding, we treated them as separate condition–finding entries corresponding to the finding being present/positive (LR+) versus absent/negative (LR−); both are strictly positive quantities (LR− values are typically &lt;1). Where theNNT finding text included a specific modality (e.g., CT vs ultrasound) or a test name (e.g., D-dimer), we retained that information verbatim in the ‘Finding’ field. We did not inject additional assay thresholds or operational definitions when such details were not present in the source entry.”</w:t>
      </w:r>
    </w:p>
    <w:p w:rsidR="00000000" w:rsidDel="00000000" w:rsidP="00000000" w:rsidRDefault="00000000" w:rsidRPr="00000000" w14:paraId="00000033">
      <w:pPr>
        <w:spacing w:after="120" w:before="40"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Comparator Likelihood Ratios:</w:t>
      </w:r>
    </w:p>
    <w:p w:rsidR="00000000" w:rsidDel="00000000" w:rsidP="00000000" w:rsidRDefault="00000000" w:rsidRPr="00000000" w14:paraId="00000034">
      <w:pPr>
        <w:spacing w:after="120" w:before="40" w:line="276" w:lineRule="auto"/>
        <w:ind w:left="72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prompt was designed by a single author (BWL) and is fully described in the supplement. In brief, the system prompt defined the LR, ‘P(finding | diagnosis) / P(finding | not diagnosis)’, gave qualitative LR strength descriptions3. The model input consisted of a plain-text pair: ‘Condition: &lt;diagnosis&gt;’ and ‘Finding: &lt;clinical finding text&gt;’; these were not encoded as ‘+’ or ‘−’ symbols. The structured output schema required a single finite numeric LR (&gt;0); because both LR+ and LR− are strictly positive quantities (LR− values are typically &lt;1, not negative), any non-numeric, non-finite, or non-positive outputs were rejected and the model was re-queried until a valid value was returned. Example inputs include: ‘Condition: pulmonary embolism / Finding: tachycardia &gt;100 bpm’ and ‘Condition: appendicitis / Finding: no RLQ tenderness.’. When applicable, the finding text includes the diagnostic modality (e.g., ultrasound, imaging, laboratory assay), consistent with how TheNNT summarizes the underlying studies.”</w:t>
      </w:r>
    </w:p>
    <w:p w:rsidR="00000000" w:rsidDel="00000000" w:rsidP="00000000" w:rsidRDefault="00000000" w:rsidRPr="00000000" w14:paraId="00000035">
      <w:pPr>
        <w:spacing w:after="80" w:before="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Comment 7</w:t>
      </w:r>
      <w:r w:rsidDel="00000000" w:rsidR="00000000" w:rsidRPr="00000000">
        <w:rPr>
          <w:rtl w:val="0"/>
        </w:rPr>
      </w:r>
    </w:p>
    <w:p w:rsidR="00000000" w:rsidDel="00000000" w:rsidP="00000000" w:rsidRDefault="00000000" w:rsidRPr="00000000" w14:paraId="00000036">
      <w:pPr>
        <w:spacing w:after="8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The same diagnostic test can have different LR values depending on the clinical setting. For example, a test can be used both in symptomatic or in asymptomatic patients. Without specifying such a context, it makes little sense to ask whether we can observe some agreement.”</w:t>
      </w:r>
      <w:r w:rsidDel="00000000" w:rsidR="00000000" w:rsidRPr="00000000">
        <w:rPr>
          <w:rtl w:val="0"/>
        </w:rPr>
      </w:r>
    </w:p>
    <w:p w:rsidR="00000000" w:rsidDel="00000000" w:rsidP="00000000" w:rsidRDefault="00000000" w:rsidRPr="00000000" w14:paraId="00000037">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 </w:t>
      </w:r>
      <w:r w:rsidDel="00000000" w:rsidR="00000000" w:rsidRPr="00000000">
        <w:rPr>
          <w:rFonts w:ascii="Times New Roman" w:cs="Times New Roman" w:eastAsia="Times New Roman" w:hAnsi="Times New Roman"/>
          <w:sz w:val="24"/>
          <w:szCs w:val="24"/>
          <w:rtl w:val="0"/>
        </w:rPr>
        <w:t xml:space="preserve">We agree completely and revised the Discussion/Limitations to lean into this as a core constraint. Many LRs are context- and spectrum-dependent, and TheNNT summaries do not always encode the full patient spectrum, setting, or comparator definitions. Our prompts similarly cannot recover missing context, which likely contributes to wide limits of agreement. We now frame this as a limitation of both the diagnostic literature and our study design, and we avoid implying interchangeability.</w:t>
      </w:r>
    </w:p>
    <w:p w:rsidR="00000000" w:rsidDel="00000000" w:rsidP="00000000" w:rsidRDefault="00000000" w:rsidRPr="00000000" w14:paraId="00000038">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 in manuscript: </w:t>
      </w:r>
      <w:r w:rsidDel="00000000" w:rsidR="00000000" w:rsidRPr="00000000">
        <w:rPr>
          <w:rFonts w:ascii="Times New Roman" w:cs="Times New Roman" w:eastAsia="Times New Roman" w:hAnsi="Times New Roman"/>
          <w:sz w:val="24"/>
          <w:szCs w:val="24"/>
          <w:rtl w:val="0"/>
        </w:rPr>
        <w:t xml:space="preserve">Discussion </w:t>
      </w:r>
    </w:p>
    <w:p w:rsidR="00000000" w:rsidDel="00000000" w:rsidP="00000000" w:rsidRDefault="00000000" w:rsidRPr="00000000" w14:paraId="00000039">
      <w:pPr>
        <w:spacing w:after="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 now reads: </w:t>
      </w:r>
    </w:p>
    <w:p w:rsidR="00000000" w:rsidDel="00000000" w:rsidP="00000000" w:rsidRDefault="00000000" w:rsidRPr="00000000" w14:paraId="0000003A">
      <w:pPr>
        <w:spacing w:after="120" w:before="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we did not manually extract LR confidence intervals or study-level context from the primary sources compiled by TheNNT.com, so our reference standards include hidden uncertainty, and models lacked the clinical detail necessary to match the precise patient spectrum, operational test definition (assay/threshold), and setting to which a given LR applies.11 Because theNNT entries may not consistently encode these parameters, our prompts reflect the curated finding text rather than a fully specified diagnostic test protocol. Accordingly, our results should be interpreted as agreement with theNNT’s curated, simplified summaries under minimal-context prompting, rather than study-specific LR replication across defined clinical settings. As a result, the observed dispersion likely reflects a combination of model estimation error and heterogeneity in underlying study populations, settings, and test thresholds (spectrum effects), which cannot be disentangled in this retrospective design.”</w:t>
      </w:r>
    </w:p>
    <w:p w:rsidR="00000000" w:rsidDel="00000000" w:rsidP="00000000" w:rsidRDefault="00000000" w:rsidRPr="00000000" w14:paraId="0000003B">
      <w:pPr>
        <w:spacing w:after="80" w:before="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Comment 8</w:t>
      </w:r>
      <w:r w:rsidDel="00000000" w:rsidR="00000000" w:rsidRPr="00000000">
        <w:rPr>
          <w:rtl w:val="0"/>
        </w:rPr>
      </w:r>
    </w:p>
    <w:p w:rsidR="00000000" w:rsidDel="00000000" w:rsidP="00000000" w:rsidRDefault="00000000" w:rsidRPr="00000000" w14:paraId="0000003C">
      <w:pPr>
        <w:spacing w:after="80" w:before="12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The authors refer to LRs as “measures of evidence”. This is incorrect. They are measures of the quality or the degree of information from a test. See also the explanation at theNNT.com: </w:t>
      </w:r>
    </w:p>
    <w:p w:rsidR="00000000" w:rsidDel="00000000" w:rsidP="00000000" w:rsidRDefault="00000000" w:rsidRPr="00000000" w14:paraId="0000003D">
      <w:pPr>
        <w:spacing w:after="8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“And likelihood ratio? That's just the name for the statistical tool that converted the pretest probability to the posttest probability - it's just a mathematical description of the strength of that test.”</w:t>
      </w:r>
      <w:r w:rsidDel="00000000" w:rsidR="00000000" w:rsidRPr="00000000">
        <w:rPr>
          <w:rtl w:val="0"/>
        </w:rPr>
      </w:r>
    </w:p>
    <w:p w:rsidR="00000000" w:rsidDel="00000000" w:rsidP="00000000" w:rsidRDefault="00000000" w:rsidRPr="00000000" w14:paraId="0000003E">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 </w:t>
      </w:r>
      <w:r w:rsidDel="00000000" w:rsidR="00000000" w:rsidRPr="00000000">
        <w:rPr>
          <w:rFonts w:ascii="Times New Roman" w:cs="Times New Roman" w:eastAsia="Times New Roman" w:hAnsi="Times New Roman"/>
          <w:sz w:val="24"/>
          <w:szCs w:val="24"/>
          <w:rtl w:val="0"/>
        </w:rPr>
        <w:t xml:space="preserve">Thank you, we revised terminology for precision. We now describe LRs as odds-updating factors (Bayes factors) that quantify how a specific test result changes disease odds in a defined setting, rather than as “evidence” itself. We also clarified that the “evidence” is the observed finding/test result plus the underlying study data; the LR is the quantitative mapping used for Bayesian updating.</w:t>
      </w:r>
    </w:p>
    <w:p w:rsidR="00000000" w:rsidDel="00000000" w:rsidP="00000000" w:rsidRDefault="00000000" w:rsidRPr="00000000" w14:paraId="0000003F">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 in manuscript: </w:t>
      </w:r>
      <w:r w:rsidDel="00000000" w:rsidR="00000000" w:rsidRPr="00000000">
        <w:rPr>
          <w:rFonts w:ascii="Times New Roman" w:cs="Times New Roman" w:eastAsia="Times New Roman" w:hAnsi="Times New Roman"/>
          <w:sz w:val="24"/>
          <w:szCs w:val="24"/>
          <w:rtl w:val="0"/>
        </w:rPr>
        <w:t xml:space="preserve">Introduction, Methods (Outcomes, Measures, and Statistical Analysis Paragraph) </w:t>
      </w:r>
    </w:p>
    <w:p w:rsidR="00000000" w:rsidDel="00000000" w:rsidP="00000000" w:rsidRDefault="00000000" w:rsidRPr="00000000" w14:paraId="00000040">
      <w:pPr>
        <w:spacing w:after="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 now reads: </w:t>
      </w:r>
    </w:p>
    <w:p w:rsidR="00000000" w:rsidDel="00000000" w:rsidP="00000000" w:rsidRDefault="00000000" w:rsidRPr="00000000" w14:paraId="00000041">
      <w:pPr>
        <w:spacing w:after="40"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Methods (</w:t>
      </w:r>
      <w:r w:rsidDel="00000000" w:rsidR="00000000" w:rsidRPr="00000000">
        <w:rPr>
          <w:rFonts w:ascii="Times New Roman" w:cs="Times New Roman" w:eastAsia="Times New Roman" w:hAnsi="Times New Roman"/>
          <w:sz w:val="24"/>
          <w:szCs w:val="24"/>
          <w:rtl w:val="0"/>
        </w:rPr>
        <w:t xml:space="preserve">Outcomes, Measures, and Statistical Analysis Paragraph)</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42">
      <w:pPr>
        <w:spacing w:after="120" w:before="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outcome the agreement between reported likelihood ratios (LR</w:t>
      </w:r>
      <w:r w:rsidDel="00000000" w:rsidR="00000000" w:rsidRPr="00000000">
        <w:rPr>
          <w:rFonts w:ascii="Times New Roman" w:cs="Times New Roman" w:eastAsia="Times New Roman" w:hAnsi="Times New Roman"/>
          <w:sz w:val="24"/>
          <w:szCs w:val="24"/>
          <w:vertAlign w:val="subscript"/>
          <w:rtl w:val="0"/>
        </w:rPr>
        <w:t xml:space="preserve">Reported</w:t>
      </w:r>
      <w:r w:rsidDel="00000000" w:rsidR="00000000" w:rsidRPr="00000000">
        <w:rPr>
          <w:rFonts w:ascii="Times New Roman" w:cs="Times New Roman" w:eastAsia="Times New Roman" w:hAnsi="Times New Roman"/>
          <w:sz w:val="24"/>
          <w:szCs w:val="24"/>
          <w:rtl w:val="0"/>
        </w:rPr>
        <w:t xml:space="preserve">) and LLM-estimated likelihood ratios (LR</w:t>
      </w:r>
      <w:r w:rsidDel="00000000" w:rsidR="00000000" w:rsidRPr="00000000">
        <w:rPr>
          <w:rFonts w:ascii="Times New Roman" w:cs="Times New Roman" w:eastAsia="Times New Roman" w:hAnsi="Times New Roman"/>
          <w:sz w:val="24"/>
          <w:szCs w:val="24"/>
          <w:vertAlign w:val="subscript"/>
          <w:rtl w:val="0"/>
        </w:rPr>
        <w:t xml:space="preserve">LLM</w:t>
      </w:r>
      <w:r w:rsidDel="00000000" w:rsidR="00000000" w:rsidRPr="00000000">
        <w:rPr>
          <w:rFonts w:ascii="Times New Roman" w:cs="Times New Roman" w:eastAsia="Times New Roman" w:hAnsi="Times New Roman"/>
          <w:sz w:val="24"/>
          <w:szCs w:val="24"/>
          <w:rtl w:val="0"/>
        </w:rPr>
        <w:t xml:space="preserve">) calculated using Bland-Altman analysis19 on log-transformed LR values because log(LR) is additive under Bayesian updating and corresponds to an odds-updating ‘weight’ for the observed test result”</w:t>
      </w:r>
    </w:p>
    <w:p w:rsidR="00000000" w:rsidDel="00000000" w:rsidP="00000000" w:rsidRDefault="00000000" w:rsidRPr="00000000" w14:paraId="00000043">
      <w:pPr>
        <w:spacing w:after="120" w:before="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w:t>
      </w:r>
      <w:r w:rsidDel="00000000" w:rsidR="00000000" w:rsidRPr="00000000">
        <w:rPr>
          <w:rFonts w:ascii="Times New Roman" w:cs="Times New Roman" w:eastAsia="Times New Roman" w:hAnsi="Times New Roman"/>
          <w:sz w:val="24"/>
          <w:szCs w:val="24"/>
          <w:rtl w:val="0"/>
        </w:rPr>
        <w:t xml:space="preserve">(3rd Paragraph):</w:t>
      </w:r>
    </w:p>
    <w:p w:rsidR="00000000" w:rsidDel="00000000" w:rsidP="00000000" w:rsidRDefault="00000000" w:rsidRPr="00000000" w14:paraId="00000044">
      <w:pPr>
        <w:spacing w:after="120" w:before="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integrating these systems as physician adjuncts remains difficult, in part because their reasoning processes are opaque. Although the LR estimation process remains opaque, expressing model outputs as likelihood ratios provides a more inspectable, quantitatively actionable interface for Bayesian updating than free-text rationales alone. In other words, this approach does not eliminate black-box inference, but it makes the claimed odds-updating factor explicit and auditable. However, given the wide limits of agreement observed here, LLM-derived LRs should not be treated as interchangeable with empiric estimates for individual high-stakes clinical decisions, and any clinical use would require context-specific validation.”</w:t>
      </w:r>
    </w:p>
    <w:p w:rsidR="00000000" w:rsidDel="00000000" w:rsidP="00000000" w:rsidRDefault="00000000" w:rsidRPr="00000000" w14:paraId="00000045">
      <w:pPr>
        <w:spacing w:after="12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Reviewer 2</w:t>
      </w:r>
      <w:r w:rsidDel="00000000" w:rsidR="00000000" w:rsidRPr="00000000">
        <w:rPr>
          <w:rtl w:val="0"/>
        </w:rPr>
      </w:r>
    </w:p>
    <w:p w:rsidR="00000000" w:rsidDel="00000000" w:rsidP="00000000" w:rsidRDefault="00000000" w:rsidRPr="00000000" w14:paraId="00000046">
      <w:pPr>
        <w:spacing w:after="80" w:before="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Comment 1</w:t>
      </w:r>
      <w:r w:rsidDel="00000000" w:rsidR="00000000" w:rsidRPr="00000000">
        <w:rPr>
          <w:rtl w:val="0"/>
        </w:rPr>
      </w:r>
    </w:p>
    <w:p w:rsidR="00000000" w:rsidDel="00000000" w:rsidP="00000000" w:rsidRDefault="00000000" w:rsidRPr="00000000" w14:paraId="00000047">
      <w:pPr>
        <w:spacing w:after="8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manuscript notes that “..yet integrating these systems as physician adjuncts remains difficult, in part because their reasoning processes are opaque.” I want to note that this opacity issue may still exist in the current approach, as the LLM still works like a black box when estimating LRs. It does not solve the opacity in the estimation process, but I do think that using LRs as an output provides greater flexibility and clearer quantitative justification for further decision-making.”</w:t>
      </w:r>
      <w:r w:rsidDel="00000000" w:rsidR="00000000" w:rsidRPr="00000000">
        <w:rPr>
          <w:rtl w:val="0"/>
        </w:rPr>
      </w:r>
    </w:p>
    <w:p w:rsidR="00000000" w:rsidDel="00000000" w:rsidP="00000000" w:rsidRDefault="00000000" w:rsidRPr="00000000" w14:paraId="00000048">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 </w:t>
      </w:r>
      <w:r w:rsidDel="00000000" w:rsidR="00000000" w:rsidRPr="00000000">
        <w:rPr>
          <w:rFonts w:ascii="Times New Roman" w:cs="Times New Roman" w:eastAsia="Times New Roman" w:hAnsi="Times New Roman"/>
          <w:sz w:val="24"/>
          <w:szCs w:val="24"/>
          <w:rtl w:val="0"/>
        </w:rPr>
        <w:t xml:space="preserve">We agree. Producing an LR does not make the model’s internal estimation process transparent; it primarily increases transparency of the downstream reasoning step by enabling explicit Bayesian updating and inspection of the numeric claim. We revised the Introduction and Discussion to acknowledge that the estimation step remains a black box and that interpretability gains are limited to explicit outputs and auditability.</w:t>
      </w:r>
      <w:r w:rsidDel="00000000" w:rsidR="00000000" w:rsidRPr="00000000">
        <w:rPr>
          <w:rtl w:val="0"/>
        </w:rPr>
      </w:r>
    </w:p>
    <w:p w:rsidR="00000000" w:rsidDel="00000000" w:rsidP="00000000" w:rsidRDefault="00000000" w:rsidRPr="00000000" w14:paraId="00000049">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 in manuscript: Introduction </w:t>
      </w:r>
      <w:r w:rsidDel="00000000" w:rsidR="00000000" w:rsidRPr="00000000">
        <w:rPr>
          <w:rFonts w:ascii="Times New Roman" w:cs="Times New Roman" w:eastAsia="Times New Roman" w:hAnsi="Times New Roman"/>
          <w:sz w:val="24"/>
          <w:szCs w:val="24"/>
          <w:rtl w:val="0"/>
        </w:rPr>
        <w:t xml:space="preserve">(3rd Paragraph):</w:t>
      </w:r>
    </w:p>
    <w:p w:rsidR="00000000" w:rsidDel="00000000" w:rsidP="00000000" w:rsidRDefault="00000000" w:rsidRPr="00000000" w14:paraId="0000004A">
      <w:pPr>
        <w:spacing w:after="120" w:before="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integrating these systems as physician adjuncts remains difficult, in part because their reasoning processes are opaque. Although the LR estimation process remains opaque, expressing model outputs as likelihood ratios provides a more inspectable, quantitatively actionable interface for Bayesian updating than free-text rationales alone. In other words, this approach does not eliminate black-box inference, but it makes the claimed odds-updating factor explicit and auditable. However, given the wide limits of agreement observed here, LLM-derived LRs should not be treated as interchangeable with empiric estimates for individual high-stakes clinical decisions, and any clinical use would require context-specific validation.”</w:t>
      </w:r>
      <w:r w:rsidDel="00000000" w:rsidR="00000000" w:rsidRPr="00000000">
        <w:rPr>
          <w:rtl w:val="0"/>
        </w:rPr>
      </w:r>
    </w:p>
    <w:p w:rsidR="00000000" w:rsidDel="00000000" w:rsidP="00000000" w:rsidRDefault="00000000" w:rsidRPr="00000000" w14:paraId="0000004B">
      <w:pPr>
        <w:spacing w:after="80" w:before="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Comment 2</w:t>
      </w:r>
      <w:r w:rsidDel="00000000" w:rsidR="00000000" w:rsidRPr="00000000">
        <w:rPr>
          <w:rtl w:val="0"/>
        </w:rPr>
      </w:r>
    </w:p>
    <w:p w:rsidR="00000000" w:rsidDel="00000000" w:rsidP="00000000" w:rsidRDefault="00000000" w:rsidRPr="00000000" w14:paraId="0000004C">
      <w:pPr>
        <w:spacing w:after="8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manuscript mainly assessed the overall agreement or precision of LLM-LR estimates compared to Reported-LR estimates. I was curious about the precision of an LLM-LR estimate for an individual case. In statistical inference, measures such as standard errors or intervals are often used to quantify uncertainty around a point estimate. Within the LLM framework, is there a way to assess such uncertainty? Also, if the same prompt were run repeatedly or executed on different machines/systems or user accounts, would the resulting LLM-LR be expected to vary, or would it be the same?”</w:t>
      </w:r>
      <w:r w:rsidDel="00000000" w:rsidR="00000000" w:rsidRPr="00000000">
        <w:rPr>
          <w:rtl w:val="0"/>
        </w:rPr>
      </w:r>
    </w:p>
    <w:p w:rsidR="00000000" w:rsidDel="00000000" w:rsidP="00000000" w:rsidRDefault="00000000" w:rsidRPr="00000000" w14:paraId="0000004D">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 </w:t>
      </w:r>
      <w:r w:rsidDel="00000000" w:rsidR="00000000" w:rsidRPr="00000000">
        <w:rPr>
          <w:rFonts w:ascii="Times New Roman" w:cs="Times New Roman" w:eastAsia="Times New Roman" w:hAnsi="Times New Roman"/>
          <w:sz w:val="24"/>
          <w:szCs w:val="24"/>
          <w:rtl w:val="0"/>
        </w:rPr>
        <w:t xml:space="preserve">Thank you, we agree this is important. In this study we evaluated agreement to literature-reported point estimates, but we did not quantify test–retest variability of LLM outputs for an individual prompt (e.g., repeated runs). We now state this explicitly as a limitation and outline how future work can estimate uncertainty.</w:t>
      </w:r>
    </w:p>
    <w:p w:rsidR="00000000" w:rsidDel="00000000" w:rsidP="00000000" w:rsidRDefault="00000000" w:rsidRPr="00000000" w14:paraId="0000004E">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 in manuscript: </w:t>
      </w:r>
      <w:r w:rsidDel="00000000" w:rsidR="00000000" w:rsidRPr="00000000">
        <w:rPr>
          <w:rFonts w:ascii="Times New Roman" w:cs="Times New Roman" w:eastAsia="Times New Roman" w:hAnsi="Times New Roman"/>
          <w:sz w:val="24"/>
          <w:szCs w:val="24"/>
          <w:rtl w:val="0"/>
        </w:rPr>
        <w:t xml:space="preserve">Discussion</w:t>
      </w:r>
      <w:r w:rsidDel="00000000" w:rsidR="00000000" w:rsidRPr="00000000">
        <w:rPr>
          <w:rtl w:val="0"/>
        </w:rPr>
      </w:r>
    </w:p>
    <w:p w:rsidR="00000000" w:rsidDel="00000000" w:rsidP="00000000" w:rsidRDefault="00000000" w:rsidRPr="00000000" w14:paraId="0000004F">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 now reads: </w:t>
      </w:r>
      <w:r w:rsidDel="00000000" w:rsidR="00000000" w:rsidRPr="00000000">
        <w:rPr>
          <w:rtl w:val="0"/>
        </w:rPr>
      </w:r>
    </w:p>
    <w:p w:rsidR="00000000" w:rsidDel="00000000" w:rsidP="00000000" w:rsidRDefault="00000000" w:rsidRPr="00000000" w14:paraId="00000050">
      <w:pPr>
        <w:spacing w:after="120" w:before="40" w:line="276"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did not quantify within-model stochasticity or provide uncertainty intervals for individual LLM-derived LR estimates. In practice, uncertainty could be approximated by repeated sampling under controlled settings (e.g., multiple runs per finding with fixed prompting and low temperature) and reporting a distribution (median/IQR) rather than a single point estimate. Future work should evaluate test–retest variability across runs, accounts, and model versions.”</w:t>
      </w:r>
    </w:p>
    <w:p w:rsidR="00000000" w:rsidDel="00000000" w:rsidP="00000000" w:rsidRDefault="00000000" w:rsidRPr="00000000" w14:paraId="00000051">
      <w:pPr>
        <w:spacing w:after="80" w:before="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Comment 3</w:t>
      </w:r>
      <w:r w:rsidDel="00000000" w:rsidR="00000000" w:rsidRPr="00000000">
        <w:rPr>
          <w:rtl w:val="0"/>
        </w:rPr>
      </w:r>
    </w:p>
    <w:p w:rsidR="00000000" w:rsidDel="00000000" w:rsidP="00000000" w:rsidRDefault="00000000" w:rsidRPr="00000000" w14:paraId="00000052">
      <w:pPr>
        <w:spacing w:after="8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 agree with the authors’ discussion of limitations regarding the inability to fully exclude prior exposure to online content, even when internet search is disabled. Thus, I think the scope of the current study should be framed carefully: the current results can only demonstrate the ability of LLMs to estimate existing or previously studied LRs, while performance for genuinely novel or understudied LRs remains uncertain. Speaking back to the precision, because LLMs are trained on existing information, the precision of their estimates may depend on the volume of prior knowledge. For example, estimates for common, well-studied diseases may be more precise than those for rare conditions. Further discussion of how users should interpret and trust LLM-LRs in this context would be valuable. That is why I think the precision of an LLM-LR estimate is important to study and report.”</w:t>
      </w:r>
      <w:r w:rsidDel="00000000" w:rsidR="00000000" w:rsidRPr="00000000">
        <w:rPr>
          <w:rtl w:val="0"/>
        </w:rPr>
      </w:r>
    </w:p>
    <w:p w:rsidR="00000000" w:rsidDel="00000000" w:rsidP="00000000" w:rsidRDefault="00000000" w:rsidRPr="00000000" w14:paraId="00000053">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 </w:t>
      </w:r>
      <w:r w:rsidDel="00000000" w:rsidR="00000000" w:rsidRPr="00000000">
        <w:rPr>
          <w:rFonts w:ascii="Times New Roman" w:cs="Times New Roman" w:eastAsia="Times New Roman" w:hAnsi="Times New Roman"/>
          <w:sz w:val="24"/>
          <w:szCs w:val="24"/>
          <w:rtl w:val="0"/>
        </w:rPr>
        <w:t xml:space="preserve">We agree and revised framing to be more explicit. Because models may have been exposed to related medical knowledge during pretraining, the current study primarily demonstrates ability to approximate previously studied or publicly discussed LRs. We strengthened the Abstract/Discussion/Conclusion to avoid overgeneralization and to emphasize that performance for truly novel or understudied findings remains uncertain and will require leakage-controlled prospective benchmarks.</w:t>
      </w:r>
      <w:r w:rsidDel="00000000" w:rsidR="00000000" w:rsidRPr="00000000">
        <w:rPr>
          <w:rtl w:val="0"/>
        </w:rPr>
      </w:r>
    </w:p>
    <w:p w:rsidR="00000000" w:rsidDel="00000000" w:rsidP="00000000" w:rsidRDefault="00000000" w:rsidRPr="00000000" w14:paraId="00000054">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 in manuscript: </w:t>
      </w:r>
      <w:r w:rsidDel="00000000" w:rsidR="00000000" w:rsidRPr="00000000">
        <w:rPr>
          <w:rFonts w:ascii="Times New Roman" w:cs="Times New Roman" w:eastAsia="Times New Roman" w:hAnsi="Times New Roman"/>
          <w:sz w:val="24"/>
          <w:szCs w:val="24"/>
          <w:rtl w:val="0"/>
        </w:rPr>
        <w:t xml:space="preserve">Abstract, Discussion and Conclusion</w:t>
      </w:r>
      <w:r w:rsidDel="00000000" w:rsidR="00000000" w:rsidRPr="00000000">
        <w:rPr>
          <w:rtl w:val="0"/>
        </w:rPr>
      </w:r>
    </w:p>
    <w:p w:rsidR="00000000" w:rsidDel="00000000" w:rsidP="00000000" w:rsidRDefault="00000000" w:rsidRPr="00000000" w14:paraId="00000055">
      <w:pPr>
        <w:spacing w:after="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 now reads: </w:t>
      </w:r>
    </w:p>
    <w:p w:rsidR="00000000" w:rsidDel="00000000" w:rsidP="00000000" w:rsidRDefault="00000000" w:rsidRPr="00000000" w14:paraId="00000056">
      <w:pPr>
        <w:spacing w:after="40"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57">
      <w:pPr>
        <w:spacing w:after="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low mean bias, limits of agreement were wide, indicating that LLM-derived LRs are not interchangeable with published estimates for individual high-stakes decisions and would require context-specific validation before any clinical use.”</w:t>
      </w:r>
    </w:p>
    <w:p w:rsidR="00000000" w:rsidDel="00000000" w:rsidP="00000000" w:rsidRDefault="00000000" w:rsidRPr="00000000" w14:paraId="00000058">
      <w:pPr>
        <w:spacing w:after="40"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p>
    <w:p w:rsidR="00000000" w:rsidDel="00000000" w:rsidP="00000000" w:rsidRDefault="00000000" w:rsidRPr="00000000" w14:paraId="00000059">
      <w:pPr>
        <w:spacing w:after="120" w:before="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limitations warrant mention. First, the evaluation compares model outputs to published LRs that may have been used in model pretraining, introducing potential contamination. This benchmark evaluates agreement with previously studied, curated LRs; performance for novel or embargoed findings remains unknown. ”</w:t>
      </w:r>
    </w:p>
    <w:p w:rsidR="00000000" w:rsidDel="00000000" w:rsidP="00000000" w:rsidRDefault="00000000" w:rsidRPr="00000000" w14:paraId="0000005A">
      <w:pPr>
        <w:spacing w:after="120" w:before="40"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5B">
      <w:pPr>
        <w:spacing w:after="120" w:before="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findings suggest that LLMs can be used to approximate a core element of diagnostic reasoning, the likelihood ratio. While the ability to generalize to unstudied LRs will require prospective validation, the capability of models to approximate existing, literature-reported diagnostic information suggests a potential role in education and hypothesis generation, and as a prior input for future diagnostic-accuracy studies. However, given several-fold dispersion and limited context conditioning in this study, these estimates should not be used as stand-alone inputs for high-stakes clinical decisions without prospective validation.”</w:t>
      </w:r>
    </w:p>
    <w:p w:rsidR="00000000" w:rsidDel="00000000" w:rsidP="00000000" w:rsidRDefault="00000000" w:rsidRPr="00000000" w14:paraId="0000005C">
      <w:pPr>
        <w:spacing w:after="80" w:before="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Comment 4</w:t>
      </w:r>
      <w:r w:rsidDel="00000000" w:rsidR="00000000" w:rsidRPr="00000000">
        <w:rPr>
          <w:rtl w:val="0"/>
        </w:rPr>
      </w:r>
    </w:p>
    <w:p w:rsidR="00000000" w:rsidDel="00000000" w:rsidP="00000000" w:rsidRDefault="00000000" w:rsidRPr="00000000" w14:paraId="0000005D">
      <w:pPr>
        <w:spacing w:after="8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“Regarding the statistical methods, the overall analysis used a paired t-test and the Pitman-Morgan test to account for the paired nature of Reported-LR and LLM-LR. It would be helpful to clarify the rationale for using Welch’s test and Levene’s test in the subgroup analyses.”</w:t>
      </w:r>
      <w:r w:rsidDel="00000000" w:rsidR="00000000" w:rsidRPr="00000000">
        <w:rPr>
          <w:rtl w:val="0"/>
        </w:rPr>
      </w:r>
    </w:p>
    <w:p w:rsidR="00000000" w:rsidDel="00000000" w:rsidP="00000000" w:rsidRDefault="00000000" w:rsidRPr="00000000" w14:paraId="0000005E">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 </w:t>
      </w:r>
      <w:r w:rsidDel="00000000" w:rsidR="00000000" w:rsidRPr="00000000">
        <w:rPr>
          <w:rFonts w:ascii="Times New Roman" w:cs="Times New Roman" w:eastAsia="Times New Roman" w:hAnsi="Times New Roman"/>
          <w:sz w:val="24"/>
          <w:szCs w:val="24"/>
          <w:rtl w:val="0"/>
        </w:rPr>
        <w:t xml:space="preserve">Thank you, we clarified this. Paired tests (paired t-test; Pitman–Morgan) were used when comparing model outputs against the same LRReported pairs. In subgroup comparisons (e.g., bias or dispersion differences across finding-type groups), observations are not paired across groups because they involve different finding–condition pairs. Therefore, we used Welch’s t-test (robust to unequal variances) and Levene’s test (variance/dispersion differences) for these independent-group comparisons.</w:t>
      </w:r>
    </w:p>
    <w:p w:rsidR="00000000" w:rsidDel="00000000" w:rsidP="00000000" w:rsidRDefault="00000000" w:rsidRPr="00000000" w14:paraId="0000005F">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 in manuscript: </w:t>
      </w:r>
      <w:r w:rsidDel="00000000" w:rsidR="00000000" w:rsidRPr="00000000">
        <w:rPr>
          <w:rFonts w:ascii="Times New Roman" w:cs="Times New Roman" w:eastAsia="Times New Roman" w:hAnsi="Times New Roman"/>
          <w:sz w:val="24"/>
          <w:szCs w:val="24"/>
          <w:rtl w:val="0"/>
        </w:rPr>
        <w:t xml:space="preserve">Methods (</w:t>
      </w:r>
      <w:r w:rsidDel="00000000" w:rsidR="00000000" w:rsidRPr="00000000">
        <w:rPr>
          <w:rFonts w:ascii="Times New Roman" w:cs="Times New Roman" w:eastAsia="Times New Roman" w:hAnsi="Times New Roman"/>
          <w:i w:val="1"/>
          <w:iCs w:val="1"/>
          <w:sz w:val="24"/>
          <w:szCs w:val="24"/>
          <w:rtl w:val="0"/>
        </w:rPr>
        <w:t xml:space="preserve">Outcomes, Measures, and Statistical Analysis Paragraph”</w:t>
      </w:r>
      <w:r w:rsidDel="00000000" w:rsidR="00000000" w:rsidRPr="00000000">
        <w:rPr>
          <w:rtl w:val="0"/>
        </w:rPr>
      </w:r>
    </w:p>
    <w:p w:rsidR="00000000" w:rsidDel="00000000" w:rsidP="00000000" w:rsidRDefault="00000000" w:rsidRPr="00000000" w14:paraId="00000060">
      <w:pPr>
        <w:spacing w:after="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 now reads: </w:t>
      </w:r>
    </w:p>
    <w:p w:rsidR="00000000" w:rsidDel="00000000" w:rsidP="00000000" w:rsidRDefault="00000000" w:rsidRPr="00000000" w14:paraId="00000061">
      <w:pPr>
        <w:spacing w:after="120" w:before="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“Welch’s t-test for bias and Levene’s test for differences in width were used because these analyses compare different sets of LR pairs across groups (i.e., independent observations), whereas paired tests were reserved for within-pair comparisons to LR</w:t>
      </w:r>
      <w:r w:rsidDel="00000000" w:rsidR="00000000" w:rsidRPr="00000000">
        <w:rPr>
          <w:rFonts w:ascii="Times New Roman" w:cs="Times New Roman" w:eastAsia="Times New Roman" w:hAnsi="Times New Roman"/>
          <w:sz w:val="24"/>
          <w:szCs w:val="24"/>
          <w:vertAlign w:val="subscript"/>
          <w:rtl w:val="0"/>
        </w:rPr>
        <w:t xml:space="preserve">Reported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2">
      <w:pPr>
        <w:spacing w:after="80" w:before="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Comment 5</w:t>
      </w:r>
      <w:r w:rsidDel="00000000" w:rsidR="00000000" w:rsidRPr="00000000">
        <w:rPr>
          <w:rtl w:val="0"/>
        </w:rPr>
      </w:r>
    </w:p>
    <w:p w:rsidR="00000000" w:rsidDel="00000000" w:rsidP="00000000" w:rsidRDefault="00000000" w:rsidRPr="00000000" w14:paraId="00000063">
      <w:pPr>
        <w:spacing w:after="8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 Figure 2, the plot corresponding to gpt-4o shows some parallel linear patterns, and a similar (though less pronounced) pattern is observed for gpt-5, whereas this pattern is not evident for the o3 model. How should this pattern be interpreted? Does it suggest any systematic behavior, modeling feature, or potential bias specific to certain models?”</w:t>
      </w:r>
      <w:r w:rsidDel="00000000" w:rsidR="00000000" w:rsidRPr="00000000">
        <w:rPr>
          <w:rtl w:val="0"/>
        </w:rPr>
      </w:r>
    </w:p>
    <w:p w:rsidR="00000000" w:rsidDel="00000000" w:rsidP="00000000" w:rsidRDefault="00000000" w:rsidRPr="00000000" w14:paraId="00000064">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 </w:t>
      </w:r>
      <w:r w:rsidDel="00000000" w:rsidR="00000000" w:rsidRPr="00000000">
        <w:rPr>
          <w:rFonts w:ascii="Times New Roman" w:cs="Times New Roman" w:eastAsia="Times New Roman" w:hAnsi="Times New Roman"/>
          <w:sz w:val="24"/>
          <w:szCs w:val="24"/>
          <w:rtl w:val="0"/>
        </w:rPr>
        <w:t xml:space="preserve">Thank you for noting this. We interpret the parallel striations as consistent with discretization/rounding or preferred numeric outputs (i.e., the model tends to reuse a limited set of LR magnitudes under constrained numeric prompting), which can appear as bands in the Bland–Altman ratio plot. This pattern does not in itself indicate directional bias; systematic bias is better assessed via mean bias, direction-stratified bias, and calibration slope, which we report. We note this as a model-output artifact and speculate it may relate to anchoring to few-shot examples or model-specific output resolution, though we did not formally test this mechanism.</w:t>
      </w:r>
    </w:p>
    <w:p w:rsidR="00000000" w:rsidDel="00000000" w:rsidP="00000000" w:rsidRDefault="00000000" w:rsidRPr="00000000" w14:paraId="00000065">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 in manuscript: </w:t>
      </w:r>
      <w:r w:rsidDel="00000000" w:rsidR="00000000" w:rsidRPr="00000000">
        <w:rPr>
          <w:rFonts w:ascii="Times New Roman" w:cs="Times New Roman" w:eastAsia="Times New Roman" w:hAnsi="Times New Roman"/>
          <w:sz w:val="24"/>
          <w:szCs w:val="24"/>
          <w:rtl w:val="0"/>
        </w:rPr>
        <w:t xml:space="preserve">Results (Figure 2)</w:t>
      </w:r>
    </w:p>
    <w:p w:rsidR="00000000" w:rsidDel="00000000" w:rsidP="00000000" w:rsidRDefault="00000000" w:rsidRPr="00000000" w14:paraId="00000066">
      <w:pPr>
        <w:spacing w:after="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 now reads: </w:t>
      </w:r>
    </w:p>
    <w:p w:rsidR="00000000" w:rsidDel="00000000" w:rsidP="00000000" w:rsidRDefault="00000000" w:rsidRPr="00000000" w14:paraId="00000067">
      <w:pPr>
        <w:spacing w:after="120" w:before="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sets of LR</w:t>
      </w:r>
      <w:r w:rsidDel="00000000" w:rsidR="00000000" w:rsidRPr="00000000">
        <w:rPr>
          <w:rFonts w:ascii="Times New Roman" w:cs="Times New Roman" w:eastAsia="Times New Roman" w:hAnsi="Times New Roman"/>
          <w:sz w:val="24"/>
          <w:szCs w:val="24"/>
          <w:vertAlign w:val="subscript"/>
          <w:rtl w:val="0"/>
        </w:rPr>
        <w:t xml:space="preserve">LLM</w:t>
      </w:r>
      <w:r w:rsidDel="00000000" w:rsidR="00000000" w:rsidRPr="00000000">
        <w:rPr>
          <w:rFonts w:ascii="Times New Roman" w:cs="Times New Roman" w:eastAsia="Times New Roman" w:hAnsi="Times New Roman"/>
          <w:sz w:val="24"/>
          <w:szCs w:val="24"/>
          <w:rtl w:val="0"/>
        </w:rPr>
        <w:t xml:space="preserve"> were generated (for GPT-4o, o3, and GPT-5) for each of the 700 LR</w:t>
      </w:r>
      <w:r w:rsidDel="00000000" w:rsidR="00000000" w:rsidRPr="00000000">
        <w:rPr>
          <w:rFonts w:ascii="Times New Roman" w:cs="Times New Roman" w:eastAsia="Times New Roman" w:hAnsi="Times New Roman"/>
          <w:sz w:val="24"/>
          <w:szCs w:val="24"/>
          <w:vertAlign w:val="subscript"/>
          <w:rtl w:val="0"/>
        </w:rPr>
        <w:t xml:space="preserve">Reported</w:t>
      </w:r>
      <w:r w:rsidDel="00000000" w:rsidR="00000000" w:rsidRPr="00000000">
        <w:rPr>
          <w:rFonts w:ascii="Times New Roman" w:cs="Times New Roman" w:eastAsia="Times New Roman" w:hAnsi="Times New Roman"/>
          <w:sz w:val="24"/>
          <w:szCs w:val="24"/>
          <w:rtl w:val="0"/>
        </w:rPr>
        <w:t xml:space="preserve">. Figure 2 shows the 95% multiplicative limits of agreement. All 3 models showed excellent mean bias (GPT-4o 1.02x, o3 0.99x, GPT-5 0.99x; no differences in pairwise comparisons). LR estimates from GPT-5 had the narrowest limits of agreement to the values reported on theNNT.com (95% limits of agreement from 0.26x to 3.7x, </w:t>
      </w:r>
      <w:r w:rsidDel="00000000" w:rsidR="00000000" w:rsidRPr="00000000">
        <w:rPr>
          <w:rFonts w:ascii="Times New Roman" w:cs="Times New Roman" w:eastAsia="Times New Roman" w:hAnsi="Times New Roman"/>
          <w:i w:val="1"/>
          <w:iCs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&lt; .001 vs both o3 and GPT-4o ), followed by o3 (0.23x to 4.28x), and GPT-4o (0.23x to 4.53x, </w:t>
      </w:r>
      <w:r w:rsidDel="00000000" w:rsidR="00000000" w:rsidRPr="00000000">
        <w:rPr>
          <w:rFonts w:ascii="Times New Roman" w:cs="Times New Roman" w:eastAsia="Times New Roman" w:hAnsi="Times New Roman"/>
          <w:i w:val="1"/>
          <w:iCs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 .58 for o3 vs GPT-4o). Other coverage ranges (50, 75%, 90%, and 99%) are presented in the supplementary materials. Visual ‘striations’ in some panels likely reflect discretization/rounding to preferred numeric outputs under constrained prompting; directional bias is more directly assessed by mean bias and calibration slope.”</w:t>
      </w:r>
    </w:p>
    <w:p w:rsidR="00000000" w:rsidDel="00000000" w:rsidP="00000000" w:rsidRDefault="00000000" w:rsidRPr="00000000" w14:paraId="00000068">
      <w:pPr>
        <w:spacing w:after="80" w:before="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Comment 6</w:t>
      </w:r>
      <w:r w:rsidDel="00000000" w:rsidR="00000000" w:rsidRPr="00000000">
        <w:rPr>
          <w:rtl w:val="0"/>
        </w:rPr>
      </w:r>
    </w:p>
    <w:p w:rsidR="00000000" w:rsidDel="00000000" w:rsidP="00000000" w:rsidRDefault="00000000" w:rsidRPr="00000000" w14:paraId="00000069">
      <w:pPr>
        <w:spacing w:after="8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manuscript states that: “diagnostic adjudications tended to provide the strongest evidence, while signs/symptoms were the weakest (Supplemental Table 1).” I would appreciate additional explanation or clarification, as this conclusion was not immediately clear to me based on Supplemental Table 1.”</w:t>
      </w:r>
      <w:r w:rsidDel="00000000" w:rsidR="00000000" w:rsidRPr="00000000">
        <w:rPr>
          <w:rtl w:val="0"/>
        </w:rPr>
      </w:r>
    </w:p>
    <w:p w:rsidR="00000000" w:rsidDel="00000000" w:rsidP="00000000" w:rsidRDefault="00000000" w:rsidRPr="00000000" w14:paraId="0000006A">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 </w:t>
      </w:r>
      <w:r w:rsidDel="00000000" w:rsidR="00000000" w:rsidRPr="00000000">
        <w:rPr>
          <w:rFonts w:ascii="Gungsuh" w:cs="Gungsuh" w:eastAsia="Gungsuh" w:hAnsi="Gungsuh"/>
          <w:sz w:val="24"/>
          <w:szCs w:val="24"/>
          <w:rtl w:val="0"/>
        </w:rPr>
        <w:t xml:space="preserve">Thank you. We revised the sentence to reflect what Supplemental Table 1 reports (quantiles rather than band counts). Diagnosis/adjudication findings were rare (n=8) but had higher upper-quantile LR magnitudes (75th 16.3; 95th 26.3) and a higher median (2.06), whereas signs/symptoms (n=416) clustered near LR≈1 (median 1.0; 75th 2.1). We also note the small adjudication sample and present this as descriptive.</w:t>
      </w:r>
    </w:p>
    <w:p w:rsidR="00000000" w:rsidDel="00000000" w:rsidP="00000000" w:rsidRDefault="00000000" w:rsidRPr="00000000" w14:paraId="0000006B">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 in manuscript: </w:t>
      </w:r>
      <w:r w:rsidDel="00000000" w:rsidR="00000000" w:rsidRPr="00000000">
        <w:rPr>
          <w:rFonts w:ascii="Times New Roman" w:cs="Times New Roman" w:eastAsia="Times New Roman" w:hAnsi="Times New Roman"/>
          <w:sz w:val="24"/>
          <w:szCs w:val="24"/>
          <w:rtl w:val="0"/>
        </w:rPr>
        <w:t xml:space="preserve">Results (2nd Paragraph)</w:t>
      </w:r>
    </w:p>
    <w:p w:rsidR="00000000" w:rsidDel="00000000" w:rsidP="00000000" w:rsidRDefault="00000000" w:rsidRPr="00000000" w14:paraId="0000006C">
      <w:pPr>
        <w:spacing w:after="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 now reads: </w:t>
      </w:r>
    </w:p>
    <w:p w:rsidR="00000000" w:rsidDel="00000000" w:rsidP="00000000" w:rsidRDefault="00000000" w:rsidRPr="00000000" w14:paraId="0000006D">
      <w:pPr>
        <w:spacing w:after="120" w:before="40" w:line="276" w:lineRule="auto"/>
        <w:ind w:left="72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“Diagnostic adjudication findings were rare (n=8) but had more extreme LR magnitudes (median 2.06; 75th percentile 16.3; 95th percentile 26.3), whereas signs/symptoms were most common (n=416) and clustered near LR≈1 (median 1.0; 75th percentile 2.1) (Supplemental Table 1). Given the small adjudication sample, this comparison is descriptive.”</w:t>
      </w:r>
    </w:p>
    <w:p w:rsidR="00000000" w:rsidDel="00000000" w:rsidP="00000000" w:rsidRDefault="00000000" w:rsidRPr="00000000" w14:paraId="0000006E">
      <w:pPr>
        <w:spacing w:after="80" w:before="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Comment 7</w:t>
      </w:r>
      <w:r w:rsidDel="00000000" w:rsidR="00000000" w:rsidRPr="00000000">
        <w:rPr>
          <w:rtl w:val="0"/>
        </w:rPr>
      </w:r>
    </w:p>
    <w:p w:rsidR="00000000" w:rsidDel="00000000" w:rsidP="00000000" w:rsidRDefault="00000000" w:rsidRPr="00000000" w14:paraId="0000006F">
      <w:pPr>
        <w:spacing w:after="8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“It seems that the three models have their own strengths in different scenarios. Is it possible to integrate their outputs for a pooled or ensemble LR estimate?”</w:t>
      </w:r>
      <w:r w:rsidDel="00000000" w:rsidR="00000000" w:rsidRPr="00000000">
        <w:rPr>
          <w:rtl w:val="0"/>
        </w:rPr>
      </w:r>
    </w:p>
    <w:p w:rsidR="00000000" w:rsidDel="00000000" w:rsidP="00000000" w:rsidRDefault="00000000" w:rsidRPr="00000000" w14:paraId="00000070">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 </w:t>
      </w:r>
      <w:r w:rsidDel="00000000" w:rsidR="00000000" w:rsidRPr="00000000">
        <w:rPr>
          <w:rFonts w:ascii="Times New Roman" w:cs="Times New Roman" w:eastAsia="Times New Roman" w:hAnsi="Times New Roman"/>
          <w:sz w:val="24"/>
          <w:szCs w:val="24"/>
          <w:rtl w:val="0"/>
        </w:rPr>
        <w:t xml:space="preserve">We agree this is an interesting possibility. This study compared models rather than optimizing an ensemble, and we did not evaluate pooled estimators. We now mention that ensembling will be evaluated in future work.</w:t>
      </w:r>
    </w:p>
    <w:p w:rsidR="00000000" w:rsidDel="00000000" w:rsidP="00000000" w:rsidRDefault="00000000" w:rsidRPr="00000000" w14:paraId="00000071">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 in manuscript: </w:t>
      </w:r>
      <w:r w:rsidDel="00000000" w:rsidR="00000000" w:rsidRPr="00000000">
        <w:rPr>
          <w:rFonts w:ascii="Times New Roman" w:cs="Times New Roman" w:eastAsia="Times New Roman" w:hAnsi="Times New Roman"/>
          <w:sz w:val="24"/>
          <w:szCs w:val="24"/>
          <w:rtl w:val="0"/>
        </w:rPr>
        <w:t xml:space="preserve">Discussion</w:t>
      </w:r>
    </w:p>
    <w:p w:rsidR="00000000" w:rsidDel="00000000" w:rsidP="00000000" w:rsidRDefault="00000000" w:rsidRPr="00000000" w14:paraId="00000072">
      <w:pPr>
        <w:spacing w:after="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 now reads: </w:t>
      </w:r>
    </w:p>
    <w:p w:rsidR="00000000" w:rsidDel="00000000" w:rsidP="00000000" w:rsidRDefault="00000000" w:rsidRPr="00000000" w14:paraId="00000073">
      <w:pPr>
        <w:spacing w:after="120" w:before="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ensemble approach (e.g., pooling multiple models with calibration-based weighting) may improve robustness and provide an empirical uncertainty estimate, and will be evaluated in future work.”</w:t>
      </w:r>
    </w:p>
    <w:p w:rsidR="00000000" w:rsidDel="00000000" w:rsidP="00000000" w:rsidRDefault="00000000" w:rsidRPr="00000000" w14:paraId="00000074">
      <w:pPr>
        <w:spacing w:after="80" w:before="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Comment 8</w:t>
      </w:r>
      <w:r w:rsidDel="00000000" w:rsidR="00000000" w:rsidRPr="00000000">
        <w:rPr>
          <w:rtl w:val="0"/>
        </w:rPr>
      </w:r>
    </w:p>
    <w:p w:rsidR="00000000" w:rsidDel="00000000" w:rsidP="00000000" w:rsidRDefault="00000000" w:rsidRPr="00000000" w14:paraId="00000075">
      <w:pPr>
        <w:spacing w:after="8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 the supplemental few-shot examples, each prompt includes only a single diagnostic finding. Is it possible to consider prompts that include combinations of multiple findings (e.g., chest pain + abnormal lab tests + disease history), and to explore how the model might behave when presented with potentially conflicting or contradictory inputs (e.g., no pain + abnormal lab tests + disease history)?”</w:t>
      </w:r>
      <w:r w:rsidDel="00000000" w:rsidR="00000000" w:rsidRPr="00000000">
        <w:rPr>
          <w:rtl w:val="0"/>
        </w:rPr>
      </w:r>
    </w:p>
    <w:p w:rsidR="00000000" w:rsidDel="00000000" w:rsidP="00000000" w:rsidRDefault="00000000" w:rsidRPr="00000000" w14:paraId="00000076">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 </w:t>
      </w:r>
      <w:r w:rsidDel="00000000" w:rsidR="00000000" w:rsidRPr="00000000">
        <w:rPr>
          <w:rFonts w:ascii="Times New Roman" w:cs="Times New Roman" w:eastAsia="Times New Roman" w:hAnsi="Times New Roman"/>
          <w:sz w:val="24"/>
          <w:szCs w:val="24"/>
          <w:rtl w:val="0"/>
        </w:rPr>
        <w:t xml:space="preserve">Our prompts estimate an LR for a single finding at a time, which aligns with standard bedside use where multiple findings are combined via Bayesian updating under conditional-independence assumptions (often violated in practice). Extending prompting to multiple findings would effectively require estimating a joint LR (or explicitly modeling dependencies). Because there is no straightforward gold standard for arbitrary combinations, we did not evaluate this numerically, but we now highlight it as an important future direction and relate it to conditional independence/spectrum effects..</w:t>
      </w:r>
    </w:p>
    <w:p w:rsidR="00000000" w:rsidDel="00000000" w:rsidP="00000000" w:rsidRDefault="00000000" w:rsidRPr="00000000" w14:paraId="00000077">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 in manuscript: </w:t>
      </w:r>
      <w:r w:rsidDel="00000000" w:rsidR="00000000" w:rsidRPr="00000000">
        <w:rPr>
          <w:rFonts w:ascii="Times New Roman" w:cs="Times New Roman" w:eastAsia="Times New Roman" w:hAnsi="Times New Roman"/>
          <w:sz w:val="24"/>
          <w:szCs w:val="24"/>
          <w:rtl w:val="0"/>
        </w:rPr>
        <w:t xml:space="preserve">Discussion</w:t>
      </w:r>
    </w:p>
    <w:p w:rsidR="00000000" w:rsidDel="00000000" w:rsidP="00000000" w:rsidRDefault="00000000" w:rsidRPr="00000000" w14:paraId="00000078">
      <w:pPr>
        <w:spacing w:after="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 now reads: </w:t>
      </w:r>
    </w:p>
    <w:p w:rsidR="00000000" w:rsidDel="00000000" w:rsidP="00000000" w:rsidRDefault="00000000" w:rsidRPr="00000000" w14:paraId="00000079">
      <w:pPr>
        <w:spacing w:after="120" w:before="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evaluation uses one finding at a time, consistent with conventional LR application. Extending prompts to multiple simultaneous findings would require estimating joint effects and dependencies between findings; without an established gold standard for arbitrary combinations, we did not evaluate such prompts here. Future work could explore structured multi-finding inputs and compare against validated multivariable diagnostic models.”</w:t>
      </w:r>
    </w:p>
    <w:p w:rsidR="00000000" w:rsidDel="00000000" w:rsidP="00000000" w:rsidRDefault="00000000" w:rsidRPr="00000000" w14:paraId="0000007A">
      <w:pPr>
        <w:spacing w:after="80" w:before="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Comment 9</w:t>
      </w:r>
      <w:r w:rsidDel="00000000" w:rsidR="00000000" w:rsidRPr="00000000">
        <w:rPr>
          <w:rtl w:val="0"/>
        </w:rPr>
      </w:r>
    </w:p>
    <w:p w:rsidR="00000000" w:rsidDel="00000000" w:rsidP="00000000" w:rsidRDefault="00000000" w:rsidRPr="00000000" w14:paraId="0000007B">
      <w:pPr>
        <w:spacing w:after="8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“Since the LLM is run until a single numeric value is produced, I was wondering about computational efficiency. How long do most runs take? Are there scenarios in which the model fails to converge cleanly or requires repeated prompting (e.g., entering a loop), and if so, how are such cases handled?”</w:t>
      </w:r>
      <w:r w:rsidDel="00000000" w:rsidR="00000000" w:rsidRPr="00000000">
        <w:rPr>
          <w:rtl w:val="0"/>
        </w:rPr>
      </w:r>
    </w:p>
    <w:p w:rsidR="00000000" w:rsidDel="00000000" w:rsidP="00000000" w:rsidRDefault="00000000" w:rsidRPr="00000000" w14:paraId="0000007C">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 </w:t>
      </w:r>
      <w:r w:rsidDel="00000000" w:rsidR="00000000" w:rsidRPr="00000000">
        <w:rPr>
          <w:rtl w:val="0"/>
        </w:rPr>
      </w:r>
    </w:p>
    <w:p w:rsidR="00000000" w:rsidDel="00000000" w:rsidP="00000000" w:rsidRDefault="00000000" w:rsidRPr="00000000" w14:paraId="0000007D">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 in manuscript: </w:t>
      </w:r>
      <w:r w:rsidDel="00000000" w:rsidR="00000000" w:rsidRPr="00000000">
        <w:rPr>
          <w:rFonts w:ascii="Times New Roman" w:cs="Times New Roman" w:eastAsia="Times New Roman" w:hAnsi="Times New Roman"/>
          <w:sz w:val="24"/>
          <w:szCs w:val="24"/>
          <w:rtl w:val="0"/>
        </w:rPr>
        <w:t xml:space="preserve">Discussion</w:t>
      </w:r>
    </w:p>
    <w:p w:rsidR="00000000" w:rsidDel="00000000" w:rsidP="00000000" w:rsidRDefault="00000000" w:rsidRPr="00000000" w14:paraId="0000007E">
      <w:pPr>
        <w:spacing w:after="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 now reads: </w:t>
      </w:r>
    </w:p>
    <w:p w:rsidR="00000000" w:rsidDel="00000000" w:rsidP="00000000" w:rsidRDefault="00000000" w:rsidRPr="00000000" w14:paraId="0000007F">
      <w:pPr>
        <w:spacing w:after="120" w:before="40" w:line="276"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