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00DBF" w14:textId="77777777" w:rsidR="00E938A5" w:rsidRDefault="00000000">
      <w:pPr>
        <w:ind w:left="-720" w:right="-720"/>
        <w:rPr>
          <w:rFonts w:ascii="Cambria" w:eastAsia="Cambria" w:hAnsi="Cambria" w:cs="Cambria"/>
        </w:rPr>
      </w:pPr>
      <w:r>
        <w:rPr>
          <w:rFonts w:ascii="Cambria" w:eastAsia="Cambria" w:hAnsi="Cambria" w:cs="Cambria"/>
        </w:rPr>
        <w:t>Sep 20, 2025</w:t>
      </w:r>
    </w:p>
    <w:p w14:paraId="69DC26C2" w14:textId="77777777" w:rsidR="00E938A5" w:rsidRDefault="00E938A5">
      <w:pPr>
        <w:ind w:left="-720" w:right="-720"/>
        <w:rPr>
          <w:rFonts w:ascii="Cambria" w:eastAsia="Cambria" w:hAnsi="Cambria" w:cs="Cambria"/>
        </w:rPr>
      </w:pPr>
    </w:p>
    <w:p w14:paraId="3DC7E088" w14:textId="77777777" w:rsidR="00E938A5" w:rsidRDefault="00000000">
      <w:pPr>
        <w:ind w:left="-720" w:right="-720"/>
        <w:rPr>
          <w:rFonts w:ascii="Cambria" w:eastAsia="Cambria" w:hAnsi="Cambria" w:cs="Cambria"/>
        </w:rPr>
      </w:pPr>
      <w:r>
        <w:rPr>
          <w:rFonts w:ascii="Cambria" w:eastAsia="Cambria" w:hAnsi="Cambria" w:cs="Cambria"/>
        </w:rPr>
        <w:t>Dear Editor,</w:t>
      </w:r>
    </w:p>
    <w:p w14:paraId="37FD8524" w14:textId="77777777" w:rsidR="00E938A5" w:rsidRDefault="00E938A5">
      <w:pPr>
        <w:ind w:left="-720" w:right="-720"/>
        <w:rPr>
          <w:rFonts w:ascii="Cambria" w:eastAsia="Cambria" w:hAnsi="Cambria" w:cs="Cambria"/>
        </w:rPr>
      </w:pPr>
    </w:p>
    <w:p w14:paraId="13E997B6" w14:textId="77777777" w:rsidR="00E938A5" w:rsidRDefault="00000000">
      <w:pPr>
        <w:ind w:left="-720" w:right="-720"/>
        <w:rPr>
          <w:rFonts w:ascii="Cambria" w:eastAsia="Cambria" w:hAnsi="Cambria" w:cs="Cambria"/>
        </w:rPr>
      </w:pPr>
      <w:r>
        <w:rPr>
          <w:rFonts w:ascii="Cambria" w:eastAsia="Cambria" w:hAnsi="Cambria" w:cs="Cambria"/>
        </w:rPr>
        <w:t>We are pleased to submit our manuscript entitled “Estimation of Medical Diagnostic Likelihood Ratios Using Artificial Intelligence” for consideration in NEJM AI.</w:t>
      </w:r>
    </w:p>
    <w:p w14:paraId="036DEE99" w14:textId="77777777" w:rsidR="00E938A5" w:rsidRDefault="00E938A5">
      <w:pPr>
        <w:ind w:left="-720" w:right="-720"/>
        <w:rPr>
          <w:rFonts w:ascii="Cambria" w:eastAsia="Cambria" w:hAnsi="Cambria" w:cs="Cambria"/>
        </w:rPr>
      </w:pPr>
    </w:p>
    <w:p w14:paraId="2B671004" w14:textId="77777777" w:rsidR="00E938A5" w:rsidRDefault="00000000">
      <w:pPr>
        <w:ind w:left="-720" w:right="-720"/>
        <w:rPr>
          <w:rFonts w:ascii="Cambria" w:eastAsia="Cambria" w:hAnsi="Cambria" w:cs="Cambria"/>
        </w:rPr>
      </w:pPr>
      <w:r>
        <w:rPr>
          <w:rFonts w:ascii="Cambria" w:eastAsia="Cambria" w:hAnsi="Cambria" w:cs="Cambria"/>
        </w:rPr>
        <w:t xml:space="preserve">Bayesian reasoning has long been recognized as the normative standard for diagnostic decision-making, but its application in routine clinical care is limited by a fundamental bottleneck: the scarcity of empirically measured likelihood ratios (LRs). Exhaustive LR measurement is infeasible because diagnostic accuracy studies are costly, slow, and context dependent. As a result, </w:t>
      </w:r>
      <w:proofErr w:type="gramStart"/>
      <w:r>
        <w:rPr>
          <w:rFonts w:ascii="Cambria" w:eastAsia="Cambria" w:hAnsi="Cambria" w:cs="Cambria"/>
        </w:rPr>
        <w:t>the majority of</w:t>
      </w:r>
      <w:proofErr w:type="gramEnd"/>
      <w:r>
        <w:rPr>
          <w:rFonts w:ascii="Cambria" w:eastAsia="Cambria" w:hAnsi="Cambria" w:cs="Cambria"/>
        </w:rPr>
        <w:t xml:space="preserve"> clinical reasoning still relies on heuristics and gestalt rather than quantitative inference. Our study addresses this barrier by evaluating whether large language models (LLMs) can generate valid, auditable LR estimates that could serve as the missing infrastructure for Bayesian reasoning in clinical care. Using 700 literature-reported LRs from TheNNT.com, we compared outputs from three contemporary LLMs (GPT-4o, o3, GPT-5) and found that modern models approximate empirical values with negligible bias and bounded dispersion. These findings suggest that LLMs can supply the inferred LRs necessary to scale Bayesian reasoning beyond the limited empirical evidence base.</w:t>
      </w:r>
    </w:p>
    <w:p w14:paraId="2BDE3847" w14:textId="77777777" w:rsidR="00E938A5" w:rsidRDefault="00E938A5">
      <w:pPr>
        <w:ind w:left="-720" w:right="-720"/>
        <w:rPr>
          <w:rFonts w:ascii="Cambria" w:eastAsia="Cambria" w:hAnsi="Cambria" w:cs="Cambria"/>
        </w:rPr>
      </w:pPr>
    </w:p>
    <w:p w14:paraId="0721D8EF" w14:textId="77777777" w:rsidR="00E938A5" w:rsidRDefault="00000000">
      <w:pPr>
        <w:ind w:left="-720" w:right="-720"/>
        <w:rPr>
          <w:rFonts w:ascii="Cambria" w:eastAsia="Cambria" w:hAnsi="Cambria" w:cs="Cambria"/>
        </w:rPr>
      </w:pPr>
      <w:r>
        <w:rPr>
          <w:rFonts w:ascii="Cambria" w:eastAsia="Cambria" w:hAnsi="Cambria" w:cs="Cambria"/>
        </w:rPr>
        <w:t>Importantly, this work speaks to whether models can move beyond memorization to genuine prospective inference. We propose that model-generated LRs should function as a priori hypotheses for future diagnostic accuracy studies and as benchmarks for model performance, positioning LLMs as engines for medical discovery. By demonstrating that modern LLMs can approximate diagnostic LRs with auditability and bounded error, our study highlights a path toward AI-assisted Bayesian reasoning that could strengthen clinical diagnosis, hypothesis generation, and the broader practice of evidence-based medicine. We believe these insights will be of strong interest to NEJM AI’s readership.</w:t>
      </w:r>
    </w:p>
    <w:p w14:paraId="388BF3D5" w14:textId="77777777" w:rsidR="00E938A5" w:rsidRDefault="00E938A5">
      <w:pPr>
        <w:ind w:left="-720" w:right="-720"/>
        <w:rPr>
          <w:rFonts w:ascii="Cambria" w:eastAsia="Cambria" w:hAnsi="Cambria" w:cs="Cambria"/>
        </w:rPr>
      </w:pPr>
    </w:p>
    <w:p w14:paraId="6C161642" w14:textId="77777777" w:rsidR="00E938A5" w:rsidRDefault="00000000">
      <w:pPr>
        <w:ind w:left="-720" w:right="-720"/>
        <w:rPr>
          <w:rFonts w:ascii="Cambria" w:eastAsia="Cambria" w:hAnsi="Cambria" w:cs="Cambria"/>
        </w:rPr>
      </w:pPr>
      <w:r>
        <w:rPr>
          <w:rFonts w:ascii="Cambria" w:eastAsia="Cambria" w:hAnsi="Cambria" w:cs="Cambria"/>
        </w:rPr>
        <w:t>All authors have declared relevant competing interests</w:t>
      </w:r>
    </w:p>
    <w:p w14:paraId="2660C0B0" w14:textId="77777777" w:rsidR="00E938A5" w:rsidRDefault="00E938A5">
      <w:pPr>
        <w:ind w:left="-720" w:right="-720"/>
        <w:rPr>
          <w:rFonts w:ascii="Cambria" w:eastAsia="Cambria" w:hAnsi="Cambria" w:cs="Cambria"/>
        </w:rPr>
      </w:pPr>
    </w:p>
    <w:p w14:paraId="68CCEA30" w14:textId="77777777" w:rsidR="00E938A5" w:rsidRDefault="00E938A5">
      <w:pPr>
        <w:ind w:left="-720" w:right="-720"/>
        <w:rPr>
          <w:rFonts w:ascii="Cambria" w:eastAsia="Cambria" w:hAnsi="Cambria" w:cs="Cambria"/>
        </w:rPr>
      </w:pPr>
    </w:p>
    <w:p w14:paraId="184133DE" w14:textId="77777777" w:rsidR="00E938A5" w:rsidRDefault="00E938A5">
      <w:pPr>
        <w:ind w:left="-720" w:right="-720"/>
        <w:rPr>
          <w:rFonts w:ascii="Cambria" w:eastAsia="Cambria" w:hAnsi="Cambria" w:cs="Cambria"/>
        </w:rPr>
      </w:pPr>
    </w:p>
    <w:p w14:paraId="186F8BDD" w14:textId="77777777" w:rsidR="00E938A5" w:rsidRDefault="00000000">
      <w:pPr>
        <w:ind w:left="-720" w:right="-720"/>
        <w:rPr>
          <w:rFonts w:ascii="Cambria" w:eastAsia="Cambria" w:hAnsi="Cambria" w:cs="Cambria"/>
        </w:rPr>
      </w:pPr>
      <w:r>
        <w:rPr>
          <w:rFonts w:ascii="Cambria" w:eastAsia="Cambria" w:hAnsi="Cambria" w:cs="Cambria"/>
        </w:rPr>
        <w:t>Shuhan He, MD</w:t>
      </w:r>
    </w:p>
    <w:p w14:paraId="0A556A51" w14:textId="77777777" w:rsidR="00E938A5" w:rsidRDefault="00000000">
      <w:pPr>
        <w:ind w:hanging="630"/>
      </w:pPr>
      <w:r>
        <w:rPr>
          <w:noProof/>
        </w:rPr>
        <w:lastRenderedPageBreak/>
        <w:drawing>
          <wp:inline distT="114300" distB="114300" distL="114300" distR="114300" wp14:anchorId="09DC4E6A" wp14:editId="63B8F9B2">
            <wp:extent cx="1543050" cy="15716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43050" cy="1571625"/>
                    </a:xfrm>
                    <a:prstGeom prst="rect">
                      <a:avLst/>
                    </a:prstGeom>
                    <a:ln/>
                  </pic:spPr>
                </pic:pic>
              </a:graphicData>
            </a:graphic>
          </wp:inline>
        </w:drawing>
      </w:r>
    </w:p>
    <w:sectPr w:rsidR="00E938A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74E89" w14:textId="77777777" w:rsidR="00A9165E" w:rsidRDefault="00A9165E">
      <w:pPr>
        <w:spacing w:line="240" w:lineRule="auto"/>
      </w:pPr>
      <w:r>
        <w:separator/>
      </w:r>
    </w:p>
  </w:endnote>
  <w:endnote w:type="continuationSeparator" w:id="0">
    <w:p w14:paraId="78D92BBB" w14:textId="77777777" w:rsidR="00A9165E" w:rsidRDefault="00A91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E5B08" w14:textId="77777777" w:rsidR="00A9165E" w:rsidRDefault="00A9165E">
      <w:pPr>
        <w:spacing w:line="240" w:lineRule="auto"/>
      </w:pPr>
      <w:r>
        <w:separator/>
      </w:r>
    </w:p>
  </w:footnote>
  <w:footnote w:type="continuationSeparator" w:id="0">
    <w:p w14:paraId="74131FED" w14:textId="77777777" w:rsidR="00A9165E" w:rsidRDefault="00A916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25645" w14:textId="77777777" w:rsidR="00E938A5" w:rsidRDefault="00000000">
    <w:pPr>
      <w:tabs>
        <w:tab w:val="left" w:pos="5400"/>
        <w:tab w:val="left" w:pos="6660"/>
      </w:tabs>
      <w:spacing w:line="240" w:lineRule="auto"/>
      <w:ind w:left="1440" w:right="-270"/>
      <w:jc w:val="right"/>
      <w:rPr>
        <w:rFonts w:ascii="Cambria" w:eastAsia="Cambria" w:hAnsi="Cambria" w:cs="Cambria"/>
        <w:color w:val="333333"/>
      </w:rPr>
    </w:pPr>
    <w:r>
      <w:rPr>
        <w:rFonts w:ascii="Cambria" w:eastAsia="Cambria" w:hAnsi="Cambria" w:cs="Cambria"/>
        <w:i/>
        <w:noProof/>
        <w:color w:val="333333"/>
      </w:rPr>
      <w:drawing>
        <wp:inline distT="114300" distB="114300" distL="114300" distR="114300" wp14:anchorId="038189F6" wp14:editId="1B964F54">
          <wp:extent cx="2038350" cy="523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38350" cy="523875"/>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706DFC64" wp14:editId="46786EFB">
          <wp:simplePos x="0" y="0"/>
          <wp:positionH relativeFrom="column">
            <wp:posOffset>-514349</wp:posOffset>
          </wp:positionH>
          <wp:positionV relativeFrom="paragraph">
            <wp:posOffset>-171449</wp:posOffset>
          </wp:positionV>
          <wp:extent cx="2761389" cy="833438"/>
          <wp:effectExtent l="0" t="0" r="0" b="0"/>
          <wp:wrapNone/>
          <wp:docPr id="2" name="image1.png" descr="MGH_RGB"/>
          <wp:cNvGraphicFramePr/>
          <a:graphic xmlns:a="http://schemas.openxmlformats.org/drawingml/2006/main">
            <a:graphicData uri="http://schemas.openxmlformats.org/drawingml/2006/picture">
              <pic:pic xmlns:pic="http://schemas.openxmlformats.org/drawingml/2006/picture">
                <pic:nvPicPr>
                  <pic:cNvPr id="0" name="image1.png" descr="MGH_RGB"/>
                  <pic:cNvPicPr preferRelativeResize="0"/>
                </pic:nvPicPr>
                <pic:blipFill>
                  <a:blip r:embed="rId2"/>
                  <a:srcRect/>
                  <a:stretch>
                    <a:fillRect/>
                  </a:stretch>
                </pic:blipFill>
                <pic:spPr>
                  <a:xfrm>
                    <a:off x="0" y="0"/>
                    <a:ext cx="2761389" cy="833438"/>
                  </a:xfrm>
                  <a:prstGeom prst="rect">
                    <a:avLst/>
                  </a:prstGeom>
                  <a:ln/>
                </pic:spPr>
              </pic:pic>
            </a:graphicData>
          </a:graphic>
        </wp:anchor>
      </w:drawing>
    </w:r>
  </w:p>
  <w:p w14:paraId="3D04811D" w14:textId="77777777" w:rsidR="00E938A5" w:rsidRDefault="00E938A5">
    <w:pPr>
      <w:tabs>
        <w:tab w:val="left" w:pos="7380"/>
        <w:tab w:val="left" w:pos="7560"/>
      </w:tabs>
      <w:spacing w:line="200" w:lineRule="auto"/>
      <w:ind w:right="-108"/>
      <w:rPr>
        <w:rFonts w:ascii="Cambria" w:eastAsia="Cambria" w:hAnsi="Cambria" w:cs="Cambria"/>
        <w:color w:val="333333"/>
      </w:rPr>
    </w:pPr>
  </w:p>
  <w:p w14:paraId="70DA0C86" w14:textId="77777777" w:rsidR="00E938A5" w:rsidRDefault="00E938A5">
    <w:pPr>
      <w:tabs>
        <w:tab w:val="left" w:pos="5400"/>
        <w:tab w:val="left" w:pos="6660"/>
      </w:tabs>
      <w:spacing w:line="240" w:lineRule="auto"/>
      <w:ind w:left="1440" w:right="270"/>
      <w:jc w:val="right"/>
      <w:rPr>
        <w:rFonts w:ascii="Cambria" w:eastAsia="Cambria" w:hAnsi="Cambria" w:cs="Cambria"/>
        <w:color w:val="333333"/>
      </w:rPr>
    </w:pPr>
  </w:p>
  <w:p w14:paraId="781F6C75" w14:textId="77777777" w:rsidR="00E938A5" w:rsidRDefault="00E938A5">
    <w:pPr>
      <w:tabs>
        <w:tab w:val="left" w:pos="7380"/>
        <w:tab w:val="left" w:pos="7560"/>
      </w:tabs>
      <w:spacing w:line="200" w:lineRule="auto"/>
      <w:ind w:right="-108"/>
      <w:rPr>
        <w:rFonts w:ascii="Cambria" w:eastAsia="Cambria" w:hAnsi="Cambria" w:cs="Cambria"/>
        <w:color w:val="333333"/>
      </w:rPr>
    </w:pPr>
  </w:p>
  <w:tbl>
    <w:tblPr>
      <w:tblStyle w:val="a"/>
      <w:tblW w:w="1068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5310"/>
    </w:tblGrid>
    <w:tr w:rsidR="00E938A5" w14:paraId="68EB28F0" w14:textId="77777777">
      <w:tc>
        <w:tcPr>
          <w:tcW w:w="53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890C767" w14:textId="77777777" w:rsidR="00E938A5" w:rsidRDefault="00000000">
          <w:pPr>
            <w:tabs>
              <w:tab w:val="left" w:pos="7380"/>
              <w:tab w:val="left" w:pos="7560"/>
            </w:tabs>
            <w:spacing w:line="200" w:lineRule="auto"/>
            <w:ind w:right="-108"/>
            <w:rPr>
              <w:rFonts w:ascii="Cambria" w:eastAsia="Cambria" w:hAnsi="Cambria" w:cs="Cambria"/>
              <w:b/>
              <w:color w:val="333333"/>
            </w:rPr>
          </w:pPr>
          <w:r>
            <w:rPr>
              <w:rFonts w:ascii="Cambria" w:eastAsia="Cambria" w:hAnsi="Cambria" w:cs="Cambria"/>
              <w:b/>
              <w:color w:val="333333"/>
            </w:rPr>
            <w:t>Lab of Computer Science</w:t>
          </w:r>
        </w:p>
        <w:p w14:paraId="153EA0D9" w14:textId="77777777" w:rsidR="00E938A5" w:rsidRDefault="00000000">
          <w:pPr>
            <w:tabs>
              <w:tab w:val="left" w:pos="7380"/>
              <w:tab w:val="left" w:pos="7560"/>
            </w:tabs>
            <w:spacing w:line="200" w:lineRule="auto"/>
            <w:ind w:right="-108"/>
            <w:rPr>
              <w:rFonts w:ascii="Cambria" w:eastAsia="Cambria" w:hAnsi="Cambria" w:cs="Cambria"/>
              <w:color w:val="333333"/>
            </w:rPr>
          </w:pPr>
          <w:r>
            <w:rPr>
              <w:rFonts w:ascii="Cambria" w:eastAsia="Cambria" w:hAnsi="Cambria" w:cs="Cambria"/>
              <w:color w:val="333333"/>
            </w:rPr>
            <w:t>399 Revolution Drive, Suite 790</w:t>
          </w:r>
        </w:p>
        <w:p w14:paraId="1EAD63ED" w14:textId="77777777" w:rsidR="00E938A5" w:rsidRDefault="00000000">
          <w:pPr>
            <w:tabs>
              <w:tab w:val="left" w:pos="7380"/>
              <w:tab w:val="left" w:pos="7560"/>
            </w:tabs>
            <w:spacing w:line="200" w:lineRule="auto"/>
            <w:ind w:right="-108"/>
            <w:rPr>
              <w:rFonts w:ascii="Cambria" w:eastAsia="Cambria" w:hAnsi="Cambria" w:cs="Cambria"/>
              <w:color w:val="333333"/>
            </w:rPr>
          </w:pPr>
          <w:r>
            <w:rPr>
              <w:rFonts w:ascii="Cambria" w:eastAsia="Cambria" w:hAnsi="Cambria" w:cs="Cambria"/>
              <w:color w:val="333333"/>
            </w:rPr>
            <w:t xml:space="preserve">Somerville, MA 02145 </w:t>
          </w:r>
        </w:p>
        <w:p w14:paraId="7CDF2C52" w14:textId="77777777" w:rsidR="00E938A5" w:rsidRDefault="00000000">
          <w:pPr>
            <w:tabs>
              <w:tab w:val="left" w:pos="7380"/>
              <w:tab w:val="left" w:pos="7560"/>
            </w:tabs>
            <w:spacing w:line="200" w:lineRule="auto"/>
            <w:ind w:right="-108"/>
            <w:rPr>
              <w:rFonts w:ascii="Cambria" w:eastAsia="Cambria" w:hAnsi="Cambria" w:cs="Cambria"/>
              <w:color w:val="333333"/>
            </w:rPr>
          </w:pPr>
          <w:r>
            <w:rPr>
              <w:rFonts w:ascii="Cambria" w:eastAsia="Cambria" w:hAnsi="Cambria" w:cs="Cambria"/>
              <w:color w:val="333333"/>
            </w:rPr>
            <w:t xml:space="preserve">E-mail: </w:t>
          </w:r>
          <w:hyperlink r:id="rId3">
            <w:r>
              <w:rPr>
                <w:rFonts w:ascii="Cambria" w:eastAsia="Cambria" w:hAnsi="Cambria" w:cs="Cambria"/>
                <w:color w:val="1155CC"/>
                <w:u w:val="single"/>
              </w:rPr>
              <w:t>She@mgh.harvard.edu</w:t>
            </w:r>
          </w:hyperlink>
        </w:p>
        <w:p w14:paraId="18B452F5" w14:textId="77777777" w:rsidR="00E938A5" w:rsidRDefault="00000000">
          <w:pPr>
            <w:tabs>
              <w:tab w:val="left" w:pos="7380"/>
              <w:tab w:val="left" w:pos="7560"/>
            </w:tabs>
            <w:spacing w:line="200" w:lineRule="auto"/>
            <w:ind w:right="-108"/>
            <w:rPr>
              <w:rFonts w:ascii="Cambria" w:eastAsia="Cambria" w:hAnsi="Cambria" w:cs="Cambria"/>
              <w:color w:val="333333"/>
            </w:rPr>
          </w:pPr>
          <w:r>
            <w:rPr>
              <w:rFonts w:ascii="Cambria" w:eastAsia="Cambria" w:hAnsi="Cambria" w:cs="Cambria"/>
              <w:color w:val="333333"/>
            </w:rPr>
            <w:t>Tel: 617-726-1672, Fax: 617-500-9951</w:t>
          </w:r>
        </w:p>
        <w:p w14:paraId="58DF3C92" w14:textId="77777777" w:rsidR="00E938A5" w:rsidRDefault="00E938A5">
          <w:pPr>
            <w:widowControl w:val="0"/>
            <w:spacing w:line="240" w:lineRule="auto"/>
            <w:rPr>
              <w:rFonts w:ascii="Cambria" w:eastAsia="Cambria" w:hAnsi="Cambria" w:cs="Cambria"/>
              <w:color w:val="333333"/>
            </w:rPr>
          </w:pPr>
        </w:p>
      </w:tc>
      <w:tc>
        <w:tcPr>
          <w:tcW w:w="53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7239664" w14:textId="77777777" w:rsidR="00E938A5" w:rsidRDefault="00000000">
          <w:pPr>
            <w:tabs>
              <w:tab w:val="left" w:pos="7380"/>
              <w:tab w:val="left" w:pos="7560"/>
            </w:tabs>
            <w:spacing w:line="200" w:lineRule="auto"/>
            <w:ind w:left="1440" w:right="270"/>
            <w:jc w:val="right"/>
            <w:rPr>
              <w:rFonts w:ascii="Cambria" w:eastAsia="Cambria" w:hAnsi="Cambria" w:cs="Cambria"/>
              <w:b/>
              <w:color w:val="333333"/>
            </w:rPr>
          </w:pPr>
          <w:r>
            <w:rPr>
              <w:rFonts w:ascii="Cambria" w:eastAsia="Cambria" w:hAnsi="Cambria" w:cs="Cambria"/>
              <w:b/>
              <w:color w:val="333333"/>
            </w:rPr>
            <w:t>Shuhan He, M.D.</w:t>
          </w:r>
        </w:p>
        <w:p w14:paraId="7B4D3CA3" w14:textId="77777777" w:rsidR="00E938A5" w:rsidRDefault="00000000">
          <w:pPr>
            <w:tabs>
              <w:tab w:val="left" w:pos="5400"/>
              <w:tab w:val="left" w:pos="6660"/>
            </w:tabs>
            <w:spacing w:line="240" w:lineRule="auto"/>
            <w:ind w:left="1440" w:right="270"/>
            <w:jc w:val="right"/>
            <w:rPr>
              <w:rFonts w:ascii="Cambria" w:eastAsia="Cambria" w:hAnsi="Cambria" w:cs="Cambria"/>
              <w:color w:val="333333"/>
            </w:rPr>
          </w:pPr>
          <w:r>
            <w:rPr>
              <w:rFonts w:ascii="Cambria" w:eastAsia="Cambria" w:hAnsi="Cambria" w:cs="Cambria"/>
              <w:color w:val="333333"/>
            </w:rPr>
            <w:t>Assistant Professor of Medicine</w:t>
          </w:r>
        </w:p>
        <w:p w14:paraId="5D1C2FE6" w14:textId="77777777" w:rsidR="00E938A5" w:rsidRDefault="00000000">
          <w:pPr>
            <w:tabs>
              <w:tab w:val="left" w:pos="5400"/>
              <w:tab w:val="left" w:pos="6660"/>
            </w:tabs>
            <w:spacing w:line="240" w:lineRule="auto"/>
            <w:ind w:left="1440" w:right="270"/>
            <w:jc w:val="right"/>
            <w:rPr>
              <w:rFonts w:ascii="Cambria" w:eastAsia="Cambria" w:hAnsi="Cambria" w:cs="Cambria"/>
              <w:color w:val="333333"/>
            </w:rPr>
          </w:pPr>
          <w:r>
            <w:rPr>
              <w:rFonts w:ascii="Cambria" w:eastAsia="Cambria" w:hAnsi="Cambria" w:cs="Cambria"/>
              <w:color w:val="333333"/>
            </w:rPr>
            <w:t>Harvard Medical School</w:t>
          </w:r>
        </w:p>
        <w:p w14:paraId="1D667FF8" w14:textId="77777777" w:rsidR="00E938A5" w:rsidRDefault="00E938A5">
          <w:pPr>
            <w:tabs>
              <w:tab w:val="center" w:pos="4320"/>
              <w:tab w:val="right" w:pos="8640"/>
              <w:tab w:val="left" w:pos="8334"/>
              <w:tab w:val="left" w:pos="8502"/>
            </w:tabs>
            <w:spacing w:line="240" w:lineRule="auto"/>
            <w:ind w:firstLine="7560"/>
            <w:rPr>
              <w:rFonts w:ascii="Cambria" w:eastAsia="Cambria" w:hAnsi="Cambria" w:cs="Cambria"/>
            </w:rPr>
          </w:pPr>
        </w:p>
        <w:p w14:paraId="004818C7" w14:textId="77777777" w:rsidR="00E938A5" w:rsidRDefault="00E938A5">
          <w:pPr>
            <w:widowControl w:val="0"/>
            <w:spacing w:line="240" w:lineRule="auto"/>
            <w:rPr>
              <w:rFonts w:ascii="Cambria" w:eastAsia="Cambria" w:hAnsi="Cambria" w:cs="Cambria"/>
              <w:color w:val="333333"/>
            </w:rPr>
          </w:pPr>
        </w:p>
      </w:tc>
    </w:tr>
  </w:tbl>
  <w:p w14:paraId="208E6432" w14:textId="77777777" w:rsidR="00E938A5" w:rsidRDefault="00E938A5">
    <w:pPr>
      <w:tabs>
        <w:tab w:val="center" w:pos="4320"/>
        <w:tab w:val="right" w:pos="8640"/>
        <w:tab w:val="left" w:pos="8334"/>
        <w:tab w:val="left" w:pos="8502"/>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8A5"/>
    <w:rsid w:val="00205049"/>
    <w:rsid w:val="00302950"/>
    <w:rsid w:val="00A9165E"/>
    <w:rsid w:val="00E9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11AF0"/>
  <w15:docId w15:val="{D8C0F083-EAC3-C34B-8C87-5BDA4054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She@mgh.harvard.edu" TargetMode="External"/><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Locke</cp:lastModifiedBy>
  <cp:revision>2</cp:revision>
  <dcterms:created xsi:type="dcterms:W3CDTF">2025-10-17T22:28:00Z</dcterms:created>
  <dcterms:modified xsi:type="dcterms:W3CDTF">2025-10-17T22:28:00Z</dcterms:modified>
</cp:coreProperties>
</file>