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F162" w14:textId="77777777" w:rsidR="00ED4DAE" w:rsidRPr="004E142F" w:rsidRDefault="00D92A27" w:rsidP="006014D8">
      <w:pPr>
        <w:pStyle w:val="Heading1"/>
      </w:pPr>
      <w:r w:rsidRPr="004E142F">
        <w:t>Title</w:t>
      </w:r>
      <w:r w:rsidR="00ED4DAE" w:rsidRPr="004E142F">
        <w:t xml:space="preserve"> Page</w:t>
      </w:r>
      <w:r w:rsidRPr="004E142F">
        <w:t xml:space="preserve">: </w:t>
      </w:r>
    </w:p>
    <w:p w14:paraId="2FD48AFB" w14:textId="340071A1" w:rsidR="005363E9" w:rsidRPr="00D64014" w:rsidRDefault="002077D4" w:rsidP="00D64014">
      <w:pPr>
        <w:spacing w:line="480" w:lineRule="auto"/>
        <w:rPr>
          <w:rFonts w:eastAsiaTheme="minorHAnsi"/>
        </w:rPr>
      </w:pPr>
      <w:r>
        <w:rPr>
          <w:rFonts w:eastAsiaTheme="minorHAnsi"/>
        </w:rPr>
        <w:t>Title</w:t>
      </w:r>
      <w:r w:rsidR="00D64014">
        <w:rPr>
          <w:rFonts w:eastAsiaTheme="minorHAnsi"/>
        </w:rPr>
        <w:t xml:space="preserve">: </w:t>
      </w:r>
      <w:r w:rsidR="00D64014" w:rsidRPr="00D64014">
        <w:rPr>
          <w:rFonts w:eastAsiaTheme="minorHAnsi"/>
        </w:rPr>
        <w:t>Pulmonary Artery Size on CT-Pulmonary Angiogram and Risk of Mortality in an Emergency Department Cohort: A Dose-Response Analysis</w:t>
      </w:r>
    </w:p>
    <w:p w14:paraId="2EFFE604" w14:textId="69EFE31A" w:rsidR="005363E9" w:rsidRPr="004E142F" w:rsidRDefault="005363E9" w:rsidP="004E142F">
      <w:pPr>
        <w:spacing w:line="480" w:lineRule="auto"/>
        <w:rPr>
          <w:rFonts w:ascii="Times" w:hAnsi="Times"/>
        </w:rPr>
      </w:pPr>
    </w:p>
    <w:p w14:paraId="32E84067" w14:textId="1A815904" w:rsidR="00361971" w:rsidRPr="004E142F" w:rsidRDefault="00361971" w:rsidP="004E142F">
      <w:pPr>
        <w:spacing w:line="480" w:lineRule="auto"/>
        <w:rPr>
          <w:rFonts w:ascii="Times" w:hAnsi="Times"/>
          <w:b/>
          <w:bCs/>
        </w:rPr>
      </w:pPr>
      <w:r w:rsidRPr="004E142F">
        <w:rPr>
          <w:rFonts w:ascii="Times" w:hAnsi="Times"/>
          <w:b/>
          <w:bCs/>
        </w:rPr>
        <w:t>Authors</w:t>
      </w:r>
    </w:p>
    <w:p w14:paraId="57A4C93C" w14:textId="40E9BEFC" w:rsidR="00D64014" w:rsidRDefault="005363E9" w:rsidP="00D64014">
      <w:pPr>
        <w:autoSpaceDE w:val="0"/>
        <w:autoSpaceDN w:val="0"/>
        <w:adjustRightInd w:val="0"/>
        <w:spacing w:line="480" w:lineRule="auto"/>
        <w:rPr>
          <w:rFonts w:ascii="Times" w:hAnsi="Times" w:cs="Times-Bold"/>
          <w:bCs/>
        </w:rPr>
      </w:pPr>
      <w:r w:rsidRPr="004E142F">
        <w:rPr>
          <w:rFonts w:ascii="Times" w:hAnsi="Times" w:cs="Times-Bold"/>
          <w:bCs/>
        </w:rPr>
        <w:t>Brian W. Locke</w:t>
      </w:r>
      <w:r w:rsidRPr="004E142F">
        <w:rPr>
          <w:rFonts w:ascii="Times" w:hAnsi="Times" w:cs="Times-Bold"/>
          <w:bCs/>
          <w:vertAlign w:val="superscript"/>
        </w:rPr>
        <w:t>1</w:t>
      </w:r>
      <w:r w:rsidR="00D64014" w:rsidRPr="00730429">
        <w:rPr>
          <w:rFonts w:ascii="Times" w:hAnsi="Times"/>
          <w:vertAlign w:val="superscript"/>
        </w:rPr>
        <w:t>,2</w:t>
      </w:r>
      <w:r w:rsidRPr="004E142F">
        <w:rPr>
          <w:rFonts w:ascii="Times" w:hAnsi="Times" w:cs="Times-Bold"/>
          <w:bCs/>
        </w:rPr>
        <w:t xml:space="preserve"> MD</w:t>
      </w:r>
      <w:r w:rsidR="00263784" w:rsidRPr="004E142F">
        <w:rPr>
          <w:rFonts w:ascii="Times" w:hAnsi="Times" w:cs="Times-Bold"/>
          <w:bCs/>
        </w:rPr>
        <w:t xml:space="preserve"> </w:t>
      </w:r>
      <w:r w:rsidR="00263784" w:rsidRPr="004E142F">
        <w:rPr>
          <w:rFonts w:ascii="Times" w:hAnsi="Times"/>
        </w:rPr>
        <w:t>(ORCID 0000-0002-3588-5238)</w:t>
      </w:r>
    </w:p>
    <w:p w14:paraId="652A4348" w14:textId="19ACA2B5" w:rsidR="00D64014" w:rsidRDefault="009A72A5" w:rsidP="00D64014">
      <w:pPr>
        <w:autoSpaceDE w:val="0"/>
        <w:autoSpaceDN w:val="0"/>
        <w:adjustRightInd w:val="0"/>
        <w:spacing w:line="480" w:lineRule="auto"/>
        <w:rPr>
          <w:rFonts w:ascii="Times" w:hAnsi="Times"/>
        </w:rPr>
      </w:pPr>
      <w:r w:rsidRPr="00730429">
        <w:rPr>
          <w:rFonts w:ascii="Times" w:hAnsi="Times"/>
        </w:rPr>
        <w:t xml:space="preserve">Brittany M </w:t>
      </w:r>
      <w:proofErr w:type="spellStart"/>
      <w:r w:rsidRPr="00730429">
        <w:rPr>
          <w:rFonts w:ascii="Times" w:hAnsi="Times"/>
        </w:rPr>
        <w:t>Scarpato</w:t>
      </w:r>
      <w:proofErr w:type="spellEnd"/>
      <w:r w:rsidRPr="00730429">
        <w:rPr>
          <w:rFonts w:ascii="Times" w:hAnsi="Times"/>
        </w:rPr>
        <w:t>, MD</w:t>
      </w:r>
      <w:r w:rsidR="00792F26">
        <w:rPr>
          <w:rFonts w:ascii="Times" w:hAnsi="Times"/>
        </w:rPr>
        <w:t xml:space="preserve"> MSCI</w:t>
      </w:r>
      <w:r w:rsidR="00792F26" w:rsidRPr="00730429">
        <w:rPr>
          <w:rFonts w:ascii="Times" w:hAnsi="Times"/>
          <w:vertAlign w:val="superscript"/>
        </w:rPr>
        <w:t>1</w:t>
      </w:r>
    </w:p>
    <w:p w14:paraId="2620D3CF" w14:textId="77777777" w:rsidR="00D64014" w:rsidRDefault="009A72A5" w:rsidP="00D64014">
      <w:pPr>
        <w:autoSpaceDE w:val="0"/>
        <w:autoSpaceDN w:val="0"/>
        <w:adjustRightInd w:val="0"/>
        <w:spacing w:line="480" w:lineRule="auto"/>
        <w:rPr>
          <w:rFonts w:ascii="Times" w:hAnsi="Times"/>
        </w:rPr>
      </w:pPr>
      <w:r w:rsidRPr="00730429">
        <w:rPr>
          <w:rFonts w:ascii="Times" w:hAnsi="Times"/>
        </w:rPr>
        <w:t>Joseph Bledsoe, MD</w:t>
      </w:r>
      <w:r w:rsidRPr="00730429">
        <w:rPr>
          <w:rFonts w:ascii="Times" w:hAnsi="Times"/>
          <w:vertAlign w:val="superscript"/>
        </w:rPr>
        <w:t>3,4</w:t>
      </w:r>
    </w:p>
    <w:p w14:paraId="39C11B32" w14:textId="77777777" w:rsidR="00D64014" w:rsidRDefault="009A72A5" w:rsidP="00D64014">
      <w:pPr>
        <w:autoSpaceDE w:val="0"/>
        <w:autoSpaceDN w:val="0"/>
        <w:adjustRightInd w:val="0"/>
        <w:spacing w:line="480" w:lineRule="auto"/>
        <w:rPr>
          <w:rFonts w:ascii="Times" w:hAnsi="Times"/>
        </w:rPr>
      </w:pPr>
      <w:r w:rsidRPr="00730429">
        <w:rPr>
          <w:rFonts w:ascii="Times" w:hAnsi="Times"/>
        </w:rPr>
        <w:t>Daniel B Knox, MD</w:t>
      </w:r>
      <w:r w:rsidRPr="00730429">
        <w:rPr>
          <w:rFonts w:ascii="Times" w:hAnsi="Times"/>
          <w:vertAlign w:val="superscript"/>
        </w:rPr>
        <w:t>2</w:t>
      </w:r>
    </w:p>
    <w:p w14:paraId="28A19FC4" w14:textId="77777777" w:rsidR="00D64014" w:rsidRDefault="009A72A5" w:rsidP="00D64014">
      <w:pPr>
        <w:autoSpaceDE w:val="0"/>
        <w:autoSpaceDN w:val="0"/>
        <w:adjustRightInd w:val="0"/>
        <w:spacing w:line="480" w:lineRule="auto"/>
        <w:rPr>
          <w:rFonts w:ascii="Times" w:hAnsi="Times"/>
        </w:rPr>
      </w:pPr>
      <w:r w:rsidRPr="00730429">
        <w:rPr>
          <w:rFonts w:ascii="Times" w:hAnsi="Times"/>
        </w:rPr>
        <w:t>Karen Conner, MD</w:t>
      </w:r>
      <w:r w:rsidRPr="00730429">
        <w:rPr>
          <w:rFonts w:ascii="Times" w:hAnsi="Times"/>
          <w:vertAlign w:val="superscript"/>
        </w:rPr>
        <w:t>5</w:t>
      </w:r>
    </w:p>
    <w:p w14:paraId="031571F5" w14:textId="77777777" w:rsidR="00D64014" w:rsidRDefault="009A72A5" w:rsidP="00D64014">
      <w:pPr>
        <w:autoSpaceDE w:val="0"/>
        <w:autoSpaceDN w:val="0"/>
        <w:adjustRightInd w:val="0"/>
        <w:spacing w:line="480" w:lineRule="auto"/>
        <w:rPr>
          <w:rFonts w:ascii="Times" w:hAnsi="Times"/>
        </w:rPr>
      </w:pPr>
      <w:r w:rsidRPr="00730429">
        <w:rPr>
          <w:rFonts w:ascii="Times" w:hAnsi="Times"/>
        </w:rPr>
        <w:t>Gregory J Stoddard, MStat</w:t>
      </w:r>
      <w:r w:rsidRPr="00730429">
        <w:rPr>
          <w:rFonts w:ascii="Times" w:hAnsi="Times"/>
          <w:vertAlign w:val="superscript"/>
        </w:rPr>
        <w:t>6</w:t>
      </w:r>
    </w:p>
    <w:p w14:paraId="033D5523" w14:textId="77777777" w:rsidR="00D64014" w:rsidRDefault="009A72A5" w:rsidP="00D64014">
      <w:pPr>
        <w:autoSpaceDE w:val="0"/>
        <w:autoSpaceDN w:val="0"/>
        <w:adjustRightInd w:val="0"/>
        <w:spacing w:line="480" w:lineRule="auto"/>
        <w:rPr>
          <w:rFonts w:ascii="Times" w:hAnsi="Times"/>
        </w:rPr>
      </w:pPr>
      <w:r w:rsidRPr="00730429">
        <w:rPr>
          <w:rFonts w:ascii="Times" w:hAnsi="Times"/>
        </w:rPr>
        <w:t xml:space="preserve">Meghan M </w:t>
      </w:r>
      <w:proofErr w:type="spellStart"/>
      <w:r w:rsidRPr="00730429">
        <w:rPr>
          <w:rFonts w:ascii="Times" w:hAnsi="Times"/>
        </w:rPr>
        <w:t>Cirulis</w:t>
      </w:r>
      <w:proofErr w:type="spellEnd"/>
      <w:r w:rsidRPr="00730429">
        <w:rPr>
          <w:rFonts w:ascii="Times" w:hAnsi="Times"/>
        </w:rPr>
        <w:t>, MD MSCI</w:t>
      </w:r>
      <w:r w:rsidRPr="00730429">
        <w:rPr>
          <w:rFonts w:ascii="Times" w:hAnsi="Times"/>
          <w:vertAlign w:val="superscript"/>
        </w:rPr>
        <w:t>1,2,7</w:t>
      </w:r>
    </w:p>
    <w:p w14:paraId="54961CAF" w14:textId="77777777" w:rsidR="00D64014" w:rsidRDefault="009A72A5" w:rsidP="00D64014">
      <w:pPr>
        <w:autoSpaceDE w:val="0"/>
        <w:autoSpaceDN w:val="0"/>
        <w:adjustRightInd w:val="0"/>
        <w:spacing w:line="480" w:lineRule="auto"/>
        <w:rPr>
          <w:rFonts w:ascii="Times" w:hAnsi="Times"/>
        </w:rPr>
      </w:pPr>
      <w:r w:rsidRPr="00730429">
        <w:rPr>
          <w:rFonts w:ascii="Times" w:hAnsi="Times"/>
        </w:rPr>
        <w:t>C Gregory Elliott, MD</w:t>
      </w:r>
      <w:r w:rsidRPr="00730429">
        <w:rPr>
          <w:rFonts w:ascii="Times" w:hAnsi="Times"/>
          <w:vertAlign w:val="superscript"/>
        </w:rPr>
        <w:t>2,7</w:t>
      </w:r>
    </w:p>
    <w:p w14:paraId="288B7D43" w14:textId="1DD740C4" w:rsidR="009A72A5" w:rsidRPr="00D64014" w:rsidRDefault="009A72A5" w:rsidP="00D64014">
      <w:pPr>
        <w:autoSpaceDE w:val="0"/>
        <w:autoSpaceDN w:val="0"/>
        <w:adjustRightInd w:val="0"/>
        <w:spacing w:line="480" w:lineRule="auto"/>
        <w:rPr>
          <w:rFonts w:ascii="Times" w:hAnsi="Times" w:cs="Times-Bold"/>
          <w:bCs/>
        </w:rPr>
      </w:pPr>
      <w:r w:rsidRPr="00730429">
        <w:rPr>
          <w:rFonts w:ascii="Times" w:hAnsi="Times"/>
        </w:rPr>
        <w:t>Mark W Dodson, MD PhD</w:t>
      </w:r>
      <w:r w:rsidRPr="00730429">
        <w:rPr>
          <w:rFonts w:ascii="Times" w:hAnsi="Times"/>
          <w:vertAlign w:val="superscript"/>
        </w:rPr>
        <w:t>2,7</w:t>
      </w:r>
    </w:p>
    <w:p w14:paraId="0A512C4A" w14:textId="77777777" w:rsidR="009A72A5" w:rsidRPr="00730429" w:rsidRDefault="009A72A5" w:rsidP="009A72A5">
      <w:pPr>
        <w:rPr>
          <w:rFonts w:ascii="Times" w:hAnsi="Times"/>
        </w:rPr>
      </w:pPr>
      <w:r w:rsidRPr="00730429">
        <w:rPr>
          <w:rFonts w:ascii="Times" w:hAnsi="Times"/>
          <w:vertAlign w:val="superscript"/>
        </w:rPr>
        <w:t>1</w:t>
      </w:r>
      <w:r w:rsidRPr="00730429">
        <w:rPr>
          <w:rFonts w:ascii="Times" w:hAnsi="Times"/>
        </w:rPr>
        <w:t>Division of Pulmonary and Critical Care Medicine, University of Utah, Salt Lake City, UT</w:t>
      </w:r>
    </w:p>
    <w:p w14:paraId="671CC828" w14:textId="77777777" w:rsidR="009A72A5" w:rsidRPr="00730429" w:rsidRDefault="009A72A5" w:rsidP="009A72A5">
      <w:pPr>
        <w:rPr>
          <w:rFonts w:ascii="Times" w:hAnsi="Times"/>
        </w:rPr>
      </w:pPr>
      <w:r w:rsidRPr="00730429">
        <w:rPr>
          <w:rFonts w:ascii="Times" w:hAnsi="Times"/>
          <w:vertAlign w:val="superscript"/>
        </w:rPr>
        <w:t>2</w:t>
      </w:r>
      <w:r w:rsidRPr="00730429">
        <w:rPr>
          <w:rFonts w:ascii="Times" w:hAnsi="Times"/>
        </w:rPr>
        <w:t>Department of Pulmonary and Critical Care Medicine, Intermountain Medical Center, Murray, UT</w:t>
      </w:r>
    </w:p>
    <w:p w14:paraId="563785FD" w14:textId="77777777" w:rsidR="009A72A5" w:rsidRPr="00730429" w:rsidRDefault="009A72A5" w:rsidP="009A72A5">
      <w:pPr>
        <w:rPr>
          <w:rFonts w:ascii="Times" w:hAnsi="Times"/>
        </w:rPr>
      </w:pPr>
      <w:r w:rsidRPr="00730429">
        <w:rPr>
          <w:rFonts w:ascii="Times" w:hAnsi="Times"/>
          <w:vertAlign w:val="superscript"/>
        </w:rPr>
        <w:t>3</w:t>
      </w:r>
      <w:r w:rsidRPr="00730429">
        <w:rPr>
          <w:rFonts w:ascii="Times" w:hAnsi="Times"/>
        </w:rPr>
        <w:t>Division of Emergency Medicine, Intermountain Medical Center, Murray, UT</w:t>
      </w:r>
    </w:p>
    <w:p w14:paraId="2B1C247C" w14:textId="77777777" w:rsidR="009A72A5" w:rsidRPr="00730429" w:rsidRDefault="009A72A5" w:rsidP="009A72A5">
      <w:pPr>
        <w:rPr>
          <w:rFonts w:ascii="Times" w:hAnsi="Times"/>
        </w:rPr>
      </w:pPr>
      <w:r w:rsidRPr="00730429">
        <w:rPr>
          <w:rFonts w:ascii="Times" w:hAnsi="Times"/>
          <w:vertAlign w:val="superscript"/>
        </w:rPr>
        <w:t>4</w:t>
      </w:r>
      <w:r w:rsidRPr="00730429">
        <w:rPr>
          <w:rFonts w:ascii="Times" w:hAnsi="Times"/>
        </w:rPr>
        <w:t>Department of Emergency Medicine, Stanford Medicine, Stanford, CA</w:t>
      </w:r>
    </w:p>
    <w:p w14:paraId="71B08043" w14:textId="77777777" w:rsidR="009A72A5" w:rsidRPr="00730429" w:rsidRDefault="009A72A5" w:rsidP="009A72A5">
      <w:pPr>
        <w:rPr>
          <w:rFonts w:ascii="Times" w:hAnsi="Times"/>
        </w:rPr>
      </w:pPr>
      <w:r w:rsidRPr="00730429">
        <w:rPr>
          <w:rFonts w:ascii="Times" w:hAnsi="Times"/>
          <w:vertAlign w:val="superscript"/>
        </w:rPr>
        <w:t>5</w:t>
      </w:r>
      <w:r w:rsidRPr="00730429">
        <w:rPr>
          <w:rFonts w:ascii="Times" w:hAnsi="Times"/>
        </w:rPr>
        <w:t>Division of Radiology, Intermountain Medical Center, Murray, UT</w:t>
      </w:r>
    </w:p>
    <w:p w14:paraId="1B3574AA" w14:textId="77777777" w:rsidR="009A72A5" w:rsidRPr="00730429" w:rsidRDefault="009A72A5" w:rsidP="009A72A5">
      <w:pPr>
        <w:rPr>
          <w:rFonts w:ascii="Times" w:hAnsi="Times"/>
        </w:rPr>
      </w:pPr>
      <w:r w:rsidRPr="00730429">
        <w:rPr>
          <w:rFonts w:ascii="Times" w:hAnsi="Times"/>
          <w:vertAlign w:val="superscript"/>
        </w:rPr>
        <w:t>6</w:t>
      </w:r>
      <w:r w:rsidRPr="00730429">
        <w:rPr>
          <w:rFonts w:ascii="Times" w:hAnsi="Times"/>
        </w:rPr>
        <w:t>Division of Epidemiology, University of Utah, Salt Lake City, UT</w:t>
      </w:r>
    </w:p>
    <w:p w14:paraId="6CC96E01" w14:textId="77777777" w:rsidR="009A72A5" w:rsidRPr="00730429" w:rsidRDefault="009A72A5" w:rsidP="009A72A5">
      <w:pPr>
        <w:rPr>
          <w:rFonts w:ascii="Times" w:hAnsi="Times"/>
        </w:rPr>
      </w:pPr>
      <w:r w:rsidRPr="00730429">
        <w:rPr>
          <w:rFonts w:ascii="Times" w:hAnsi="Times"/>
          <w:vertAlign w:val="superscript"/>
        </w:rPr>
        <w:t>7</w:t>
      </w:r>
      <w:r w:rsidRPr="00730429">
        <w:rPr>
          <w:rFonts w:ascii="Times" w:hAnsi="Times"/>
        </w:rPr>
        <w:t>Pulmonary Hypertension Care Center, Intermountain Medical Center, Murray, UT</w:t>
      </w:r>
    </w:p>
    <w:p w14:paraId="5A0B0DB6" w14:textId="77777777" w:rsidR="00D64014" w:rsidRDefault="00D64014" w:rsidP="004E142F">
      <w:pPr>
        <w:spacing w:line="480" w:lineRule="auto"/>
        <w:rPr>
          <w:rFonts w:ascii="Times" w:hAnsi="Times"/>
        </w:rPr>
      </w:pPr>
    </w:p>
    <w:p w14:paraId="3EF649F0" w14:textId="2CE6BA88" w:rsidR="005363E9" w:rsidRPr="004E142F" w:rsidRDefault="005363E9" w:rsidP="004E142F">
      <w:pPr>
        <w:spacing w:line="480" w:lineRule="auto"/>
        <w:rPr>
          <w:rFonts w:ascii="Times" w:hAnsi="Times"/>
        </w:rPr>
      </w:pPr>
      <w:r w:rsidRPr="004E142F">
        <w:rPr>
          <w:rFonts w:ascii="Times" w:hAnsi="Times"/>
        </w:rPr>
        <w:t>Corresponding author:</w:t>
      </w:r>
      <w:r w:rsidR="00BB090E">
        <w:rPr>
          <w:rFonts w:ascii="Times" w:hAnsi="Times"/>
        </w:rPr>
        <w:t xml:space="preserve"> Brian W Locke</w:t>
      </w:r>
      <w:r w:rsidRPr="004E142F">
        <w:rPr>
          <w:rFonts w:ascii="Times" w:hAnsi="Times"/>
        </w:rPr>
        <w:t xml:space="preserve"> </w:t>
      </w:r>
      <w:r w:rsidR="00D64014">
        <w:rPr>
          <w:rFonts w:ascii="Times" w:hAnsi="Times"/>
        </w:rPr>
        <w:t>(</w:t>
      </w:r>
      <w:r w:rsidR="00BB090E">
        <w:rPr>
          <w:rFonts w:ascii="Times" w:hAnsi="Times"/>
        </w:rPr>
        <w:t>brian.locke@hsc.utah.edu</w:t>
      </w:r>
      <w:r w:rsidR="00D64014">
        <w:rPr>
          <w:rFonts w:ascii="Times" w:hAnsi="Times"/>
        </w:rPr>
        <w:t>)</w:t>
      </w:r>
    </w:p>
    <w:p w14:paraId="3F395B7F" w14:textId="4B9B3029" w:rsidR="00291958" w:rsidRPr="004E142F" w:rsidRDefault="002077D4" w:rsidP="004E142F">
      <w:pPr>
        <w:spacing w:line="480" w:lineRule="auto"/>
        <w:rPr>
          <w:rFonts w:ascii="Times" w:hAnsi="Times"/>
        </w:rPr>
      </w:pPr>
      <w:r>
        <w:rPr>
          <w:rFonts w:ascii="Times" w:hAnsi="Times"/>
        </w:rPr>
        <w:t>Brian W Locke</w:t>
      </w:r>
      <w:r w:rsidR="004F71A3">
        <w:rPr>
          <w:rFonts w:ascii="Times" w:hAnsi="Times"/>
        </w:rPr>
        <w:t xml:space="preserve"> MD</w:t>
      </w:r>
      <w:r w:rsidR="005363E9" w:rsidRPr="004E142F">
        <w:rPr>
          <w:rFonts w:ascii="Times" w:hAnsi="Times"/>
        </w:rPr>
        <w:t>. Pulmonary and Critical Care Medicine Fellow</w:t>
      </w:r>
      <w:r w:rsidR="00291958" w:rsidRPr="004E142F">
        <w:rPr>
          <w:rFonts w:ascii="Times" w:hAnsi="Times"/>
        </w:rPr>
        <w:t>.</w:t>
      </w:r>
      <w:r w:rsidR="005363E9" w:rsidRPr="004E142F">
        <w:rPr>
          <w:rFonts w:ascii="Times" w:hAnsi="Times"/>
        </w:rPr>
        <w:t xml:space="preserve"> </w:t>
      </w:r>
      <w:r w:rsidR="00291958" w:rsidRPr="004E142F">
        <w:rPr>
          <w:rFonts w:ascii="Times" w:hAnsi="Times"/>
        </w:rPr>
        <w:t xml:space="preserve">26 North 1900 East. Wintrobe 701. Salt Lake City, UT. 84132 </w:t>
      </w:r>
    </w:p>
    <w:p w14:paraId="765BCD78" w14:textId="2672D4EE" w:rsidR="005363E9" w:rsidRPr="004E142F" w:rsidRDefault="005363E9" w:rsidP="004E142F">
      <w:pPr>
        <w:spacing w:line="480" w:lineRule="auto"/>
        <w:rPr>
          <w:rFonts w:ascii="Times" w:hAnsi="Times"/>
        </w:rPr>
      </w:pPr>
    </w:p>
    <w:p w14:paraId="3F4BB0DD" w14:textId="77777777" w:rsidR="004D3A44" w:rsidRDefault="00263784" w:rsidP="004E142F">
      <w:pPr>
        <w:spacing w:line="480" w:lineRule="auto"/>
        <w:rPr>
          <w:rFonts w:ascii="Times" w:hAnsi="Times"/>
        </w:rPr>
      </w:pPr>
      <w:r w:rsidRPr="004E142F">
        <w:rPr>
          <w:rFonts w:ascii="Times" w:hAnsi="Times"/>
        </w:rPr>
        <w:lastRenderedPageBreak/>
        <w:t xml:space="preserve">Conflicts of Interest: </w:t>
      </w:r>
    </w:p>
    <w:p w14:paraId="7F6460AB" w14:textId="77777777" w:rsidR="004D3A44" w:rsidRDefault="004D3A44" w:rsidP="004E142F">
      <w:pPr>
        <w:spacing w:line="480" w:lineRule="auto"/>
        <w:rPr>
          <w:rFonts w:ascii="Times" w:hAnsi="Times"/>
        </w:rPr>
      </w:pPr>
    </w:p>
    <w:p w14:paraId="701D0C2E" w14:textId="42966A75" w:rsidR="002077D4" w:rsidRDefault="004D3A44" w:rsidP="004E142F">
      <w:pPr>
        <w:spacing w:line="480" w:lineRule="auto"/>
        <w:rPr>
          <w:rFonts w:ascii="Times" w:hAnsi="Times"/>
        </w:rPr>
      </w:pPr>
      <w:r w:rsidRPr="004E142F">
        <w:rPr>
          <w:rFonts w:ascii="Times" w:hAnsi="Times"/>
        </w:rPr>
        <w:t>This research was supported by the National Institutes of Health under Ruth L. Kirschstein National Research Service Award 5T32HL105321 from the NIH. (B.W.L.)</w:t>
      </w:r>
      <w:r w:rsidR="00192A7C">
        <w:rPr>
          <w:rFonts w:ascii="Times" w:hAnsi="Times"/>
        </w:rPr>
        <w:t>.</w:t>
      </w:r>
      <w:r w:rsidR="00D368F1">
        <w:rPr>
          <w:rFonts w:ascii="Times" w:hAnsi="Times"/>
        </w:rPr>
        <w:t xml:space="preserve"> </w:t>
      </w:r>
    </w:p>
    <w:p w14:paraId="59502585" w14:textId="738929FF" w:rsidR="004D3A44" w:rsidRDefault="00D368F1" w:rsidP="004E142F">
      <w:pPr>
        <w:spacing w:line="480" w:lineRule="auto"/>
        <w:rPr>
          <w:rFonts w:ascii="Times" w:hAnsi="Times"/>
        </w:rPr>
      </w:pPr>
      <w:r>
        <w:rPr>
          <w:rFonts w:ascii="Times" w:hAnsi="Times"/>
        </w:rPr>
        <w:t xml:space="preserve">B.W.L. also receives funding for </w:t>
      </w:r>
      <w:r w:rsidR="00192A7C">
        <w:rPr>
          <w:rFonts w:ascii="Times" w:hAnsi="Times"/>
        </w:rPr>
        <w:t>an unrelated</w:t>
      </w:r>
      <w:r>
        <w:rPr>
          <w:rFonts w:ascii="Times" w:hAnsi="Times"/>
        </w:rPr>
        <w:t xml:space="preserve"> project from </w:t>
      </w:r>
      <w:r w:rsidR="00192A7C">
        <w:rPr>
          <w:rFonts w:ascii="Times" w:hAnsi="Times"/>
        </w:rPr>
        <w:t>an</w:t>
      </w:r>
      <w:r>
        <w:rPr>
          <w:rFonts w:ascii="Times" w:hAnsi="Times"/>
        </w:rPr>
        <w:t xml:space="preserve"> American Thoracic Society</w:t>
      </w:r>
      <w:r w:rsidR="00192A7C">
        <w:rPr>
          <w:rFonts w:ascii="Times" w:hAnsi="Times"/>
        </w:rPr>
        <w:t xml:space="preserve"> program supported by ResMed, Philips Respironics, and Fisher &amp; Paykel Healthcare</w:t>
      </w:r>
      <w:r>
        <w:rPr>
          <w:rFonts w:ascii="Times" w:hAnsi="Times"/>
        </w:rPr>
        <w:t>.</w:t>
      </w:r>
    </w:p>
    <w:p w14:paraId="47FBFA3F" w14:textId="77777777" w:rsidR="00263784" w:rsidRPr="004E142F" w:rsidRDefault="00263784" w:rsidP="004E142F">
      <w:pPr>
        <w:spacing w:line="480" w:lineRule="auto"/>
        <w:rPr>
          <w:rFonts w:ascii="Times" w:hAnsi="Times"/>
          <w:bCs/>
        </w:rPr>
      </w:pPr>
    </w:p>
    <w:p w14:paraId="600C619C" w14:textId="3C2DE6CC" w:rsidR="00263784" w:rsidRPr="004E142F" w:rsidRDefault="00263784" w:rsidP="004E142F">
      <w:pPr>
        <w:spacing w:line="480" w:lineRule="auto"/>
        <w:rPr>
          <w:rFonts w:ascii="Times" w:hAnsi="Times"/>
          <w:bCs/>
        </w:rPr>
      </w:pPr>
      <w:r w:rsidRPr="004E142F">
        <w:rPr>
          <w:rFonts w:ascii="Times" w:hAnsi="Times"/>
          <w:bCs/>
        </w:rPr>
        <w:t>Author contributions:</w:t>
      </w:r>
    </w:p>
    <w:p w14:paraId="00B88D53" w14:textId="0821A5E6" w:rsidR="00BB090E" w:rsidRDefault="00814FA6" w:rsidP="005C5E7B">
      <w:pPr>
        <w:spacing w:line="480" w:lineRule="auto"/>
      </w:pPr>
      <w:r w:rsidRPr="00992355">
        <w:t>Study concept design</w:t>
      </w:r>
      <w:r w:rsidR="00BB090E">
        <w:t xml:space="preserve"> BWL, BMS, MMC, CGE, MWD</w:t>
      </w:r>
    </w:p>
    <w:p w14:paraId="1D661EC7" w14:textId="72ECBFCF" w:rsidR="00BB090E" w:rsidRDefault="00814FA6" w:rsidP="005C5E7B">
      <w:pPr>
        <w:spacing w:line="480" w:lineRule="auto"/>
      </w:pPr>
      <w:r w:rsidRPr="00992355">
        <w:t>Data acquisition/analysis</w:t>
      </w:r>
      <w:r w:rsidR="00BB090E">
        <w:t xml:space="preserve"> BMS, JB, DBK, KC, GJS</w:t>
      </w:r>
    </w:p>
    <w:p w14:paraId="61C28B74" w14:textId="355D715F" w:rsidR="00BB090E" w:rsidRDefault="00814FA6" w:rsidP="005C5E7B">
      <w:pPr>
        <w:spacing w:line="480" w:lineRule="auto"/>
      </w:pPr>
      <w:r w:rsidRPr="00992355">
        <w:t>Manuscript drafting/revision</w:t>
      </w:r>
      <w:r w:rsidR="005C5E7B" w:rsidRPr="00992355">
        <w:t>/editing</w:t>
      </w:r>
      <w:r w:rsidR="00BB090E">
        <w:t xml:space="preserve"> BWL, BMS, CGE, MWD</w:t>
      </w:r>
    </w:p>
    <w:p w14:paraId="67F95FCB" w14:textId="69CEA063" w:rsidR="00BB090E" w:rsidRDefault="00814FA6" w:rsidP="005C5E7B">
      <w:pPr>
        <w:spacing w:line="480" w:lineRule="auto"/>
      </w:pPr>
      <w:r w:rsidRPr="00992355">
        <w:t>Literature Review</w:t>
      </w:r>
      <w:r w:rsidR="00BB090E">
        <w:t xml:space="preserve"> BWL, BMS, CGE, MWD</w:t>
      </w:r>
    </w:p>
    <w:p w14:paraId="7DA5EC83" w14:textId="7534DB29" w:rsidR="00BB090E" w:rsidRDefault="00814FA6" w:rsidP="005C5E7B">
      <w:pPr>
        <w:spacing w:line="480" w:lineRule="auto"/>
      </w:pPr>
      <w:r w:rsidRPr="00992355">
        <w:t>Statistics</w:t>
      </w:r>
      <w:r w:rsidR="00BB090E">
        <w:t xml:space="preserve"> BWL, GJS</w:t>
      </w:r>
    </w:p>
    <w:p w14:paraId="31C97923" w14:textId="1E9636EB" w:rsidR="00263784" w:rsidRPr="00992355" w:rsidRDefault="005C5E7B" w:rsidP="005C5E7B">
      <w:pPr>
        <w:spacing w:line="480" w:lineRule="auto"/>
      </w:pPr>
      <w:r w:rsidRPr="00992355">
        <w:rPr>
          <w:rFonts w:eastAsiaTheme="minorHAnsi"/>
        </w:rPr>
        <w:t xml:space="preserve">Guarantor of integrity of </w:t>
      </w:r>
      <w:r w:rsidR="000F12CC">
        <w:rPr>
          <w:rFonts w:eastAsiaTheme="minorHAnsi"/>
        </w:rPr>
        <w:t xml:space="preserve">the </w:t>
      </w:r>
      <w:r w:rsidRPr="00992355">
        <w:rPr>
          <w:rFonts w:eastAsiaTheme="minorHAnsi"/>
        </w:rPr>
        <w:t>entire study</w:t>
      </w:r>
      <w:r w:rsidR="00BB090E">
        <w:rPr>
          <w:rFonts w:eastAsiaTheme="minorHAnsi"/>
        </w:rPr>
        <w:t xml:space="preserve"> BWL, BMS, MWD</w:t>
      </w:r>
    </w:p>
    <w:p w14:paraId="7CB0E68D" w14:textId="77777777" w:rsidR="00B038A0" w:rsidRDefault="00B038A0" w:rsidP="004E142F">
      <w:pPr>
        <w:spacing w:line="480" w:lineRule="auto"/>
        <w:rPr>
          <w:rFonts w:ascii="Times" w:hAnsi="Times"/>
          <w:b/>
          <w:color w:val="222222"/>
        </w:rPr>
      </w:pPr>
    </w:p>
    <w:p w14:paraId="3855F567" w14:textId="4D9DDBF8" w:rsidR="005363E9" w:rsidRPr="004E142F" w:rsidRDefault="001149FF" w:rsidP="004E142F">
      <w:pPr>
        <w:spacing w:line="480" w:lineRule="auto"/>
        <w:rPr>
          <w:rFonts w:ascii="Times" w:hAnsi="Times"/>
        </w:rPr>
      </w:pPr>
      <w:r w:rsidRPr="004E142F">
        <w:rPr>
          <w:rFonts w:ascii="Times" w:hAnsi="Times"/>
          <w:b/>
          <w:color w:val="222222"/>
        </w:rPr>
        <w:t>Keywords</w:t>
      </w:r>
      <w:r w:rsidR="005363E9" w:rsidRPr="004E142F">
        <w:rPr>
          <w:rFonts w:ascii="Times" w:hAnsi="Times"/>
          <w:color w:val="222222"/>
        </w:rPr>
        <w:t xml:space="preserve">: </w:t>
      </w:r>
      <w:r w:rsidR="00BE1E5C">
        <w:rPr>
          <w:rFonts w:ascii="Times" w:hAnsi="Times"/>
          <w:color w:val="222222"/>
        </w:rPr>
        <w:t>Pulmonary Artery Size, Pulmonary Hypertension, Computed Tomography, Mortality Risk</w:t>
      </w:r>
    </w:p>
    <w:p w14:paraId="34F2A327" w14:textId="77777777" w:rsidR="001149FF" w:rsidRPr="004E142F" w:rsidRDefault="001149FF" w:rsidP="004E142F">
      <w:pPr>
        <w:spacing w:line="480" w:lineRule="auto"/>
        <w:rPr>
          <w:rFonts w:ascii="Times" w:hAnsi="Times"/>
        </w:rPr>
      </w:pPr>
    </w:p>
    <w:p w14:paraId="215E3100" w14:textId="2130F23E" w:rsidR="005363E9" w:rsidRPr="004E142F" w:rsidRDefault="005363E9" w:rsidP="004E142F">
      <w:pPr>
        <w:spacing w:line="480" w:lineRule="auto"/>
        <w:rPr>
          <w:rFonts w:ascii="Times" w:hAnsi="Times"/>
        </w:rPr>
      </w:pPr>
      <w:r w:rsidRPr="004E142F">
        <w:rPr>
          <w:rFonts w:ascii="Times" w:hAnsi="Times"/>
        </w:rPr>
        <w:t xml:space="preserve">Word count </w:t>
      </w:r>
    </w:p>
    <w:p w14:paraId="2330E424" w14:textId="4E5E3774" w:rsidR="005363E9" w:rsidRPr="004E142F" w:rsidRDefault="005363E9" w:rsidP="004E142F">
      <w:pPr>
        <w:spacing w:line="480" w:lineRule="auto"/>
        <w:rPr>
          <w:rFonts w:ascii="Times" w:hAnsi="Times"/>
        </w:rPr>
      </w:pPr>
      <w:r w:rsidRPr="004E142F">
        <w:rPr>
          <w:rFonts w:ascii="Times" w:hAnsi="Times"/>
        </w:rPr>
        <w:t xml:space="preserve">Abstract: </w:t>
      </w:r>
      <w:r w:rsidR="002077D4">
        <w:rPr>
          <w:rFonts w:ascii="Times" w:hAnsi="Times"/>
        </w:rPr>
        <w:t>***</w:t>
      </w:r>
    </w:p>
    <w:p w14:paraId="1DAED726" w14:textId="47ECE580" w:rsidR="005363E9" w:rsidRPr="004E142F" w:rsidRDefault="005363E9" w:rsidP="004E142F">
      <w:pPr>
        <w:spacing w:line="480" w:lineRule="auto"/>
        <w:rPr>
          <w:rFonts w:ascii="Times" w:hAnsi="Times"/>
        </w:rPr>
      </w:pPr>
      <w:r w:rsidRPr="004E142F">
        <w:rPr>
          <w:rFonts w:ascii="Times" w:hAnsi="Times"/>
        </w:rPr>
        <w:t xml:space="preserve">Manuscript: </w:t>
      </w:r>
      <w:r w:rsidR="0088391D">
        <w:rPr>
          <w:rFonts w:ascii="Times" w:hAnsi="Times"/>
        </w:rPr>
        <w:t>~1550</w:t>
      </w:r>
      <w:r w:rsidRPr="004E142F">
        <w:rPr>
          <w:rFonts w:ascii="Times" w:hAnsi="Times"/>
        </w:rPr>
        <w:br w:type="page"/>
      </w:r>
    </w:p>
    <w:p w14:paraId="3D448225" w14:textId="0CE26CDC" w:rsidR="005363E9" w:rsidRPr="004E142F" w:rsidRDefault="005363E9" w:rsidP="004E142F">
      <w:pPr>
        <w:spacing w:line="480" w:lineRule="auto"/>
        <w:rPr>
          <w:rFonts w:ascii="Times" w:hAnsi="Times"/>
          <w:b/>
          <w:bCs/>
        </w:rPr>
      </w:pPr>
      <w:r w:rsidRPr="004E142F">
        <w:rPr>
          <w:rFonts w:ascii="Times" w:hAnsi="Times"/>
          <w:b/>
          <w:bCs/>
        </w:rPr>
        <w:lastRenderedPageBreak/>
        <w:t>Abbreviations:</w:t>
      </w:r>
    </w:p>
    <w:p w14:paraId="722B7DD6" w14:textId="5D0C8020" w:rsidR="005363E9" w:rsidRPr="002077D4" w:rsidRDefault="002077D4" w:rsidP="004E142F">
      <w:pPr>
        <w:spacing w:line="480" w:lineRule="auto"/>
        <w:rPr>
          <w:rFonts w:ascii="Times" w:hAnsi="Times"/>
          <w:b/>
        </w:rPr>
      </w:pPr>
      <w:r w:rsidRPr="002077D4">
        <w:rPr>
          <w:rFonts w:ascii="Times" w:hAnsi="Times"/>
          <w:b/>
        </w:rPr>
        <w:t>***</w:t>
      </w:r>
      <w:r w:rsidR="005363E9" w:rsidRPr="002077D4">
        <w:rPr>
          <w:rFonts w:ascii="Times" w:hAnsi="Times"/>
          <w:b/>
        </w:rPr>
        <w:br w:type="page"/>
      </w:r>
    </w:p>
    <w:p w14:paraId="36428333" w14:textId="5805F9BD" w:rsidR="00971BA7" w:rsidRPr="00DA38B4" w:rsidRDefault="005363E9" w:rsidP="006014D8">
      <w:pPr>
        <w:pStyle w:val="Heading1"/>
      </w:pPr>
      <w:r w:rsidRPr="004E142F">
        <w:lastRenderedPageBreak/>
        <w:t xml:space="preserve">Abstract: </w:t>
      </w:r>
    </w:p>
    <w:p w14:paraId="2E918669" w14:textId="021EA307" w:rsidR="005065E0" w:rsidRDefault="008E742E" w:rsidP="004E142F">
      <w:pPr>
        <w:spacing w:line="480" w:lineRule="auto"/>
        <w:rPr>
          <w:rFonts w:ascii="Times" w:hAnsi="Times"/>
        </w:rPr>
      </w:pPr>
      <w:r w:rsidRPr="004E142F">
        <w:rPr>
          <w:rFonts w:ascii="Times" w:hAnsi="Times"/>
          <w:u w:val="single"/>
        </w:rPr>
        <w:t>Purpose</w:t>
      </w:r>
      <w:r w:rsidR="00E7559E" w:rsidRPr="004E142F">
        <w:rPr>
          <w:rFonts w:ascii="Times" w:hAnsi="Times"/>
          <w:u w:val="single"/>
        </w:rPr>
        <w:t>:</w:t>
      </w:r>
      <w:r w:rsidR="00D04385" w:rsidRPr="004E142F">
        <w:rPr>
          <w:rFonts w:ascii="Times" w:hAnsi="Times"/>
        </w:rPr>
        <w:t xml:space="preserve"> </w:t>
      </w:r>
      <w:r w:rsidR="00BE1E5C">
        <w:rPr>
          <w:rFonts w:ascii="Times" w:hAnsi="Times"/>
        </w:rPr>
        <w:t xml:space="preserve"> Pulmonary artery (PA) size can be assess by computed tomography pulmonary angiogram (CTPA) as either the PA diameter (</w:t>
      </w:r>
      <w:proofErr w:type="spellStart"/>
      <w:r w:rsidR="00BE1E5C">
        <w:rPr>
          <w:rFonts w:ascii="Times" w:hAnsi="Times"/>
        </w:rPr>
        <w:t>PAd</w:t>
      </w:r>
      <w:proofErr w:type="spellEnd"/>
      <w:r w:rsidR="00BE1E5C">
        <w:rPr>
          <w:rFonts w:ascii="Times" w:hAnsi="Times"/>
        </w:rPr>
        <w:t>) or the ratio with the ascending aorta (</w:t>
      </w:r>
      <w:proofErr w:type="gramStart"/>
      <w:r w:rsidR="00BE1E5C">
        <w:rPr>
          <w:rFonts w:ascii="Times" w:hAnsi="Times"/>
        </w:rPr>
        <w:t>PA:AA</w:t>
      </w:r>
      <w:proofErr w:type="gramEnd"/>
      <w:r w:rsidR="00BE1E5C">
        <w:rPr>
          <w:rFonts w:ascii="Times" w:hAnsi="Times"/>
        </w:rPr>
        <w:t xml:space="preserve">). When dichotomized, both metrics are associated with mortality risk in the emergency population. However, the excess mortality risk conferred by various degrees of elevation is not known and may differ by age. </w:t>
      </w:r>
    </w:p>
    <w:p w14:paraId="3DA9B47F" w14:textId="4D54AFDA" w:rsidR="00C22F1B" w:rsidRPr="004E142F" w:rsidRDefault="00E7559E" w:rsidP="004E142F">
      <w:pPr>
        <w:spacing w:line="480" w:lineRule="auto"/>
        <w:rPr>
          <w:rFonts w:ascii="Times" w:hAnsi="Times"/>
        </w:rPr>
      </w:pPr>
      <w:r w:rsidRPr="004E142F">
        <w:rPr>
          <w:rFonts w:ascii="Times" w:hAnsi="Times"/>
          <w:u w:val="single"/>
        </w:rPr>
        <w:t>Methods:</w:t>
      </w:r>
      <w:r w:rsidRPr="004E142F">
        <w:rPr>
          <w:rFonts w:ascii="Times" w:hAnsi="Times"/>
        </w:rPr>
        <w:t xml:space="preserve"> </w:t>
      </w:r>
      <w:proofErr w:type="spellStart"/>
      <w:r w:rsidR="00BE1E5C">
        <w:rPr>
          <w:rFonts w:ascii="Times" w:hAnsi="Times"/>
        </w:rPr>
        <w:t>PAd</w:t>
      </w:r>
      <w:proofErr w:type="spellEnd"/>
      <w:r w:rsidR="00BE1E5C">
        <w:rPr>
          <w:rFonts w:ascii="Times" w:hAnsi="Times"/>
        </w:rPr>
        <w:t xml:space="preserve"> and </w:t>
      </w:r>
      <w:proofErr w:type="gramStart"/>
      <w:r w:rsidR="00BE1E5C">
        <w:rPr>
          <w:rFonts w:ascii="Times" w:hAnsi="Times"/>
        </w:rPr>
        <w:t>PA:AA</w:t>
      </w:r>
      <w:proofErr w:type="gramEnd"/>
      <w:r w:rsidR="00BE1E5C">
        <w:rPr>
          <w:rFonts w:ascii="Times" w:hAnsi="Times"/>
        </w:rPr>
        <w:t xml:space="preserve"> were measured on 889 CTPAs obtained in two community emergency departments in Salt Lake City that were negative for acute pulmonary embolism. Cox-regression modeling with restricted cubic splines was used to model the influence of </w:t>
      </w:r>
    </w:p>
    <w:p w14:paraId="55CE62A2" w14:textId="5282F905" w:rsidR="008F4440" w:rsidRPr="00E5432D" w:rsidRDefault="009B6C04" w:rsidP="004E142F">
      <w:pPr>
        <w:spacing w:line="480" w:lineRule="auto"/>
        <w:rPr>
          <w:rFonts w:ascii="Times" w:hAnsi="Times" w:cs="AppleSystemUIFont"/>
        </w:rPr>
      </w:pPr>
      <w:r w:rsidRPr="004E142F">
        <w:rPr>
          <w:rFonts w:ascii="Times" w:hAnsi="Times"/>
          <w:u w:val="single"/>
        </w:rPr>
        <w:t>Results:</w:t>
      </w:r>
      <w:r w:rsidRPr="004E142F">
        <w:rPr>
          <w:rFonts w:ascii="Times" w:hAnsi="Times"/>
        </w:rPr>
        <w:t xml:space="preserve"> </w:t>
      </w:r>
      <w:r w:rsidR="00BE1E5C">
        <w:rPr>
          <w:rFonts w:ascii="Times" w:hAnsi="Times"/>
        </w:rPr>
        <w:t xml:space="preserve">Both </w:t>
      </w:r>
      <w:proofErr w:type="spellStart"/>
      <w:r w:rsidR="00BE1E5C">
        <w:rPr>
          <w:rFonts w:ascii="Times" w:hAnsi="Times"/>
        </w:rPr>
        <w:t>PAd</w:t>
      </w:r>
      <w:proofErr w:type="spellEnd"/>
      <w:r w:rsidR="00BE1E5C">
        <w:rPr>
          <w:rFonts w:ascii="Times" w:hAnsi="Times"/>
        </w:rPr>
        <w:t xml:space="preserve"> and </w:t>
      </w:r>
      <w:proofErr w:type="gramStart"/>
      <w:r w:rsidR="00BE1E5C">
        <w:rPr>
          <w:rFonts w:ascii="Times" w:hAnsi="Times"/>
        </w:rPr>
        <w:t>PA:AA</w:t>
      </w:r>
      <w:proofErr w:type="gramEnd"/>
      <w:r w:rsidR="00BE1E5C">
        <w:rPr>
          <w:rFonts w:ascii="Times" w:hAnsi="Times"/>
        </w:rPr>
        <w:t xml:space="preserve"> were associated with larger increases in the hazard of death with greater degrees of enlargement. Enlarged </w:t>
      </w:r>
      <w:proofErr w:type="spellStart"/>
      <w:r w:rsidR="00BE1E5C">
        <w:rPr>
          <w:rFonts w:ascii="Times" w:hAnsi="Times"/>
        </w:rPr>
        <w:t>PAd</w:t>
      </w:r>
      <w:proofErr w:type="spellEnd"/>
      <w:r w:rsidR="00BE1E5C">
        <w:rPr>
          <w:rFonts w:ascii="Times" w:hAnsi="Times"/>
        </w:rPr>
        <w:t xml:space="preserve"> was more common in older patients,</w:t>
      </w:r>
      <w:r w:rsidR="0039605C">
        <w:rPr>
          <w:rFonts w:ascii="Times" w:hAnsi="Times"/>
        </w:rPr>
        <w:t xml:space="preserve"> but not associated with increased mortality risk until greater degree of enlargement occurred. Elevated </w:t>
      </w:r>
      <w:proofErr w:type="gramStart"/>
      <w:r w:rsidR="0039605C">
        <w:rPr>
          <w:rFonts w:ascii="Times" w:hAnsi="Times"/>
        </w:rPr>
        <w:t>PA:AA</w:t>
      </w:r>
      <w:proofErr w:type="gramEnd"/>
      <w:r w:rsidR="0039605C">
        <w:rPr>
          <w:rFonts w:ascii="Times" w:hAnsi="Times"/>
        </w:rPr>
        <w:t xml:space="preserve"> was more common in younger patients, but excess mortality risk was not conferred until greater enlargement as present. Mortality risk prediction improved if age-adjusted norms were used. </w:t>
      </w:r>
    </w:p>
    <w:p w14:paraId="4B6CCAB5" w14:textId="43EBF9B2" w:rsidR="006A0DEF" w:rsidRDefault="008F4440" w:rsidP="00D17729">
      <w:pPr>
        <w:autoSpaceDE w:val="0"/>
        <w:autoSpaceDN w:val="0"/>
        <w:adjustRightInd w:val="0"/>
        <w:spacing w:line="480" w:lineRule="auto"/>
        <w:rPr>
          <w:rFonts w:ascii="Times" w:eastAsiaTheme="majorEastAsia" w:hAnsi="Times" w:cstheme="majorBidi"/>
          <w:b/>
          <w:color w:val="000000" w:themeColor="text1"/>
          <w:szCs w:val="32"/>
        </w:rPr>
      </w:pPr>
      <w:r w:rsidRPr="004E142F">
        <w:rPr>
          <w:rFonts w:ascii="Times" w:hAnsi="Times" w:cs="AppleSystemUIFont"/>
          <w:u w:val="single"/>
        </w:rPr>
        <w:t>Conclusion:</w:t>
      </w:r>
      <w:r w:rsidRPr="004E142F">
        <w:rPr>
          <w:rFonts w:ascii="Times" w:hAnsi="Times" w:cs="AppleSystemUIFont"/>
        </w:rPr>
        <w:t xml:space="preserve"> </w:t>
      </w:r>
      <w:r w:rsidR="0039605C">
        <w:rPr>
          <w:rFonts w:ascii="Times" w:hAnsi="Times" w:cs="AppleSystemUIFont"/>
        </w:rPr>
        <w:t xml:space="preserve">Although verification in an independent dataset is needed, this data suggests that age-adjustment of PA size metrics should be </w:t>
      </w:r>
      <w:proofErr w:type="gramStart"/>
      <w:r w:rsidR="0039605C">
        <w:rPr>
          <w:rFonts w:ascii="Times" w:hAnsi="Times" w:cs="AppleSystemUIFont"/>
        </w:rPr>
        <w:t>considered .</w:t>
      </w:r>
      <w:proofErr w:type="gramEnd"/>
    </w:p>
    <w:p w14:paraId="3B745B42" w14:textId="77777777" w:rsidR="00433B60" w:rsidRDefault="00433B60">
      <w:pPr>
        <w:rPr>
          <w:b/>
          <w:bCs/>
        </w:rPr>
      </w:pPr>
      <w:r>
        <w:rPr>
          <w:b/>
          <w:bCs/>
        </w:rPr>
        <w:br w:type="page"/>
      </w:r>
    </w:p>
    <w:p w14:paraId="086AC36B" w14:textId="2A7A9446" w:rsidR="005363E9" w:rsidRPr="004E142F" w:rsidRDefault="005363E9" w:rsidP="006014D8">
      <w:pPr>
        <w:pStyle w:val="Heading1"/>
      </w:pPr>
      <w:r w:rsidRPr="004E142F">
        <w:lastRenderedPageBreak/>
        <w:t>Introduction:</w:t>
      </w:r>
    </w:p>
    <w:p w14:paraId="1C6AB0B1" w14:textId="7D33BA74" w:rsidR="00DA66C9" w:rsidRDefault="00D64014" w:rsidP="00655485">
      <w:pPr>
        <w:spacing w:line="480" w:lineRule="auto"/>
        <w:ind w:firstLine="360"/>
        <w:rPr>
          <w:rFonts w:ascii="Times" w:hAnsi="Times" w:cs="Calibri"/>
        </w:rPr>
      </w:pPr>
      <w:r>
        <w:rPr>
          <w:rFonts w:ascii="Times" w:hAnsi="Times" w:cs="Calibri"/>
        </w:rPr>
        <w:t>An e</w:t>
      </w:r>
      <w:r w:rsidR="00D76FD1">
        <w:rPr>
          <w:rFonts w:ascii="Times" w:hAnsi="Times" w:cs="Calibri"/>
        </w:rPr>
        <w:t xml:space="preserve">nlarged pulmonary artery (PA) on computed tomography of the chest has been associated with adverse outcomes, including mortality, in a variety of situations. </w:t>
      </w:r>
      <w:r w:rsidR="000D2F88">
        <w:rPr>
          <w:rFonts w:ascii="Times" w:hAnsi="Times" w:cs="Calibri"/>
        </w:rPr>
        <w:t xml:space="preserve">PA size </w:t>
      </w:r>
      <w:r>
        <w:rPr>
          <w:rFonts w:ascii="Times" w:hAnsi="Times" w:cs="Calibri"/>
        </w:rPr>
        <w:t>is</w:t>
      </w:r>
      <w:r w:rsidR="000D2F88">
        <w:rPr>
          <w:rFonts w:ascii="Times" w:hAnsi="Times" w:cs="Calibri"/>
        </w:rPr>
        <w:t xml:space="preserve"> quantified </w:t>
      </w:r>
      <w:r>
        <w:rPr>
          <w:rFonts w:ascii="Times" w:hAnsi="Times" w:cs="Calibri"/>
        </w:rPr>
        <w:t xml:space="preserve">by one of two metrics: </w:t>
      </w:r>
      <w:r w:rsidR="000D2F88">
        <w:rPr>
          <w:rFonts w:ascii="Times" w:hAnsi="Times" w:cs="Calibri"/>
        </w:rPr>
        <w:t>the PA diameter (</w:t>
      </w:r>
      <w:proofErr w:type="spellStart"/>
      <w:r w:rsidR="000D2F88">
        <w:rPr>
          <w:rFonts w:ascii="Times" w:hAnsi="Times" w:cs="Calibri"/>
        </w:rPr>
        <w:t>PAd</w:t>
      </w:r>
      <w:proofErr w:type="spellEnd"/>
      <w:r w:rsidR="000D2F88">
        <w:rPr>
          <w:rFonts w:ascii="Times" w:hAnsi="Times" w:cs="Calibri"/>
        </w:rPr>
        <w:t xml:space="preserve">) </w:t>
      </w:r>
      <w:r w:rsidR="001A0319">
        <w:rPr>
          <w:rFonts w:ascii="Times" w:hAnsi="Times" w:cs="Calibri"/>
        </w:rPr>
        <w:t>or a</w:t>
      </w:r>
      <w:r>
        <w:rPr>
          <w:rFonts w:ascii="Times" w:hAnsi="Times" w:cs="Calibri"/>
        </w:rPr>
        <w:t xml:space="preserve"> </w:t>
      </w:r>
      <w:r w:rsidR="001A0319">
        <w:rPr>
          <w:rFonts w:ascii="Times" w:hAnsi="Times" w:cs="Calibri"/>
        </w:rPr>
        <w:t xml:space="preserve">the </w:t>
      </w:r>
      <w:r>
        <w:rPr>
          <w:rFonts w:ascii="Times" w:hAnsi="Times" w:cs="Calibri"/>
        </w:rPr>
        <w:t xml:space="preserve">ratio of the </w:t>
      </w:r>
      <w:r w:rsidR="001A0319">
        <w:rPr>
          <w:rFonts w:ascii="Times" w:hAnsi="Times" w:cs="Calibri"/>
        </w:rPr>
        <w:t>PA diameter to ascending aorta (</w:t>
      </w:r>
      <w:proofErr w:type="gramStart"/>
      <w:r w:rsidR="001A0319">
        <w:rPr>
          <w:rFonts w:ascii="Times" w:hAnsi="Times" w:cs="Calibri"/>
        </w:rPr>
        <w:t>PA:AA</w:t>
      </w:r>
      <w:proofErr w:type="gramEnd"/>
      <w:r w:rsidR="001A0319">
        <w:rPr>
          <w:rFonts w:ascii="Times" w:hAnsi="Times" w:cs="Calibri"/>
        </w:rPr>
        <w:t xml:space="preserve">). While differing thresholds have been proposed, the most commonly used </w:t>
      </w:r>
      <w:r w:rsidR="00BD4317">
        <w:rPr>
          <w:rFonts w:ascii="Times" w:hAnsi="Times" w:cs="Calibri"/>
        </w:rPr>
        <w:t>threshold</w:t>
      </w:r>
      <w:r w:rsidR="005D378C">
        <w:rPr>
          <w:rFonts w:ascii="Times" w:hAnsi="Times" w:cs="Calibri"/>
        </w:rPr>
        <w:t>s</w:t>
      </w:r>
      <w:r>
        <w:rPr>
          <w:rFonts w:ascii="Times" w:hAnsi="Times" w:cs="Calibri"/>
        </w:rPr>
        <w:t xml:space="preserve"> differentiating normal from enlarged</w:t>
      </w:r>
      <w:r w:rsidR="00A04AAE">
        <w:rPr>
          <w:rFonts w:ascii="Times" w:hAnsi="Times" w:cs="Calibri"/>
        </w:rPr>
        <w:t xml:space="preserve"> are </w:t>
      </w:r>
      <w:proofErr w:type="spellStart"/>
      <w:r w:rsidR="00A04AAE">
        <w:rPr>
          <w:rFonts w:ascii="Times" w:hAnsi="Times" w:cs="Calibri"/>
        </w:rPr>
        <w:t>PAd</w:t>
      </w:r>
      <w:proofErr w:type="spellEnd"/>
      <w:r w:rsidR="00BD4317">
        <w:rPr>
          <w:rFonts w:ascii="Times" w:hAnsi="Times" w:cs="Calibri"/>
        </w:rPr>
        <w:t xml:space="preserve"> </w:t>
      </w:r>
      <w:r w:rsidR="00A04AAE">
        <w:rPr>
          <w:rFonts w:ascii="Times" w:hAnsi="Times" w:cs="Calibri"/>
        </w:rPr>
        <w:t xml:space="preserve">larger than </w:t>
      </w:r>
      <w:r w:rsidR="006D346C">
        <w:rPr>
          <w:rFonts w:ascii="Times" w:hAnsi="Times" w:cs="Calibri"/>
        </w:rPr>
        <w:t xml:space="preserve">29 </w:t>
      </w:r>
      <w:r w:rsidR="00A04AAE">
        <w:rPr>
          <w:rFonts w:ascii="Times" w:hAnsi="Times" w:cs="Calibri"/>
        </w:rPr>
        <w:t xml:space="preserve">mm in men </w:t>
      </w:r>
      <w:r>
        <w:rPr>
          <w:rFonts w:ascii="Times" w:hAnsi="Times" w:cs="Calibri"/>
        </w:rPr>
        <w:t>or</w:t>
      </w:r>
      <w:r w:rsidR="00A04AAE">
        <w:rPr>
          <w:rFonts w:ascii="Times" w:hAnsi="Times" w:cs="Calibri"/>
        </w:rPr>
        <w:t xml:space="preserve"> </w:t>
      </w:r>
      <w:r w:rsidR="006D346C">
        <w:rPr>
          <w:rFonts w:ascii="Times" w:hAnsi="Times" w:cs="Calibri"/>
        </w:rPr>
        <w:t xml:space="preserve">27mm </w:t>
      </w:r>
      <w:r w:rsidR="00A04AAE">
        <w:rPr>
          <w:rFonts w:ascii="Times" w:hAnsi="Times" w:cs="Calibri"/>
        </w:rPr>
        <w:t>in women</w:t>
      </w:r>
      <w:r w:rsidR="007E7B3E">
        <w:rPr>
          <w:rFonts w:ascii="Times" w:hAnsi="Times" w:cs="Calibri"/>
        </w:rPr>
        <w:t xml:space="preserve"> and</w:t>
      </w:r>
      <w:r>
        <w:rPr>
          <w:rFonts w:ascii="Times" w:hAnsi="Times" w:cs="Calibri"/>
        </w:rPr>
        <w:t xml:space="preserve"> a</w:t>
      </w:r>
      <w:r w:rsidR="007E7B3E">
        <w:rPr>
          <w:rFonts w:ascii="Times" w:hAnsi="Times" w:cs="Calibri"/>
        </w:rPr>
        <w:t xml:space="preserve"> </w:t>
      </w:r>
      <w:proofErr w:type="gramStart"/>
      <w:r w:rsidR="007E7B3E">
        <w:rPr>
          <w:rFonts w:ascii="Times" w:hAnsi="Times" w:cs="Calibri"/>
        </w:rPr>
        <w:t>PA:AA</w:t>
      </w:r>
      <w:proofErr w:type="gramEnd"/>
      <w:r w:rsidR="007E7B3E">
        <w:rPr>
          <w:rFonts w:ascii="Times" w:hAnsi="Times" w:cs="Calibri"/>
        </w:rPr>
        <w:t xml:space="preserve"> above 0.90.  These thresholds </w:t>
      </w:r>
      <w:r>
        <w:rPr>
          <w:rFonts w:ascii="Times" w:hAnsi="Times" w:cs="Calibri"/>
        </w:rPr>
        <w:t>are derived</w:t>
      </w:r>
      <w:r w:rsidR="007E7B3E">
        <w:rPr>
          <w:rFonts w:ascii="Times" w:hAnsi="Times" w:cs="Calibri"/>
        </w:rPr>
        <w:t xml:space="preserve"> from </w:t>
      </w:r>
      <w:r>
        <w:rPr>
          <w:rFonts w:ascii="Times" w:hAnsi="Times" w:cs="Calibri"/>
        </w:rPr>
        <w:t xml:space="preserve">the 90% coverage range in the purportedly healthy Framingham cohort in </w:t>
      </w:r>
      <w:r w:rsidR="007E7B3E">
        <w:rPr>
          <w:rFonts w:ascii="Times" w:hAnsi="Times" w:cs="Calibri"/>
        </w:rPr>
        <w:t xml:space="preserve">an analysis by Truong et </w:t>
      </w:r>
      <w:r>
        <w:rPr>
          <w:rFonts w:ascii="Times" w:hAnsi="Times" w:cs="Calibri"/>
        </w:rPr>
        <w:t>al</w:t>
      </w:r>
      <w:r w:rsidR="00960E1C">
        <w:rPr>
          <w:rFonts w:ascii="Times" w:hAnsi="Times" w:cs="Calibri"/>
        </w:rPr>
        <w:t>.</w:t>
      </w:r>
      <w:r w:rsidR="00CB2FE8">
        <w:rPr>
          <w:rFonts w:ascii="Times" w:hAnsi="Times" w:cs="Calibri"/>
        </w:rPr>
        <w:fldChar w:fldCharType="begin"/>
      </w:r>
      <w:r w:rsidR="00D029EF">
        <w:rPr>
          <w:rFonts w:ascii="Times" w:hAnsi="Times" w:cs="Calibri"/>
        </w:rPr>
        <w:instrText xml:space="preserve"> ADDIN ZOTERO_ITEM CSL_CITATION {"citationID":"rfhsiULV","properties":{"formattedCitation":"\\super 1\\nosupersub{}","plainCitation":"1","noteIndex":0},"citationItems":[{"id":154,"uris":["http://zotero.org/users/10706980/items/9BFGGDBR"],"itemData":{"id":154,"type":"article-journal","container-title":"Circulation: Cardiovascular Imaging","ISSN":"1941-9651","issue":"1","journalAbbreviation":"Circulation: Cardiovascular Imaging","note":"publisher: Am Heart Assoc","page":"147-154","title":"Reference values for normal pulmonary artery dimensions by noncontrast cardiac computed tomography: the Framingham Heart Study","volume":"5","author":[{"family":"Truong","given":"Quynh A"},{"family":"Massaro","given":"Joseph M"},{"family":"Rogers","given":"Ian S"},{"family":"Mahabadi","given":"Amir A"},{"family":"Kriegel","given":"Matthias F"},{"family":"Fox","given":"Caroline S"},{"family":"O'Donnell","given":"Christopher J"},{"family":"Hoffmann","given":"Udo"}],"issued":{"date-parts":[["2012"]]},"citation-key":"truongReferenceValuesNormal2012"}}],"schema":"https://github.com/citation-style-language/schema/raw/master/csl-citation.json"} </w:instrText>
      </w:r>
      <w:r w:rsidR="00CB2FE8">
        <w:rPr>
          <w:rFonts w:ascii="Times" w:hAnsi="Times" w:cs="Calibri"/>
        </w:rPr>
        <w:fldChar w:fldCharType="separate"/>
      </w:r>
      <w:r w:rsidR="00CB2FE8" w:rsidRPr="00CB2FE8">
        <w:rPr>
          <w:rFonts w:ascii="Times" w:hAnsi="Times" w:cs="Times"/>
          <w:vertAlign w:val="superscript"/>
        </w:rPr>
        <w:t>1</w:t>
      </w:r>
      <w:r w:rsidR="00CB2FE8">
        <w:rPr>
          <w:rFonts w:ascii="Times" w:hAnsi="Times" w:cs="Calibri"/>
        </w:rPr>
        <w:fldChar w:fldCharType="end"/>
      </w:r>
      <w:r w:rsidR="004E457F">
        <w:rPr>
          <w:rFonts w:ascii="Times" w:hAnsi="Times" w:cs="Calibri"/>
        </w:rPr>
        <w:t xml:space="preserve"> </w:t>
      </w:r>
    </w:p>
    <w:p w14:paraId="75C72810" w14:textId="3EB24C82" w:rsidR="007E7B3E" w:rsidRDefault="00DD43E3" w:rsidP="00DD43E3">
      <w:pPr>
        <w:spacing w:line="480" w:lineRule="auto"/>
        <w:ind w:firstLine="360"/>
        <w:rPr>
          <w:rFonts w:ascii="Times" w:hAnsi="Times" w:cs="Calibri"/>
        </w:rPr>
      </w:pPr>
      <w:r>
        <w:rPr>
          <w:rFonts w:ascii="Times" w:hAnsi="Times" w:cs="Calibri"/>
        </w:rPr>
        <w:t xml:space="preserve">There are two major limitations to this approach. First, dichotomizing a continuous measure </w:t>
      </w:r>
      <w:r w:rsidR="00720FD3">
        <w:rPr>
          <w:rFonts w:ascii="Times" w:hAnsi="Times" w:cs="Calibri"/>
        </w:rPr>
        <w:t>discards useful information about the degree of elevation</w:t>
      </w:r>
      <w:r w:rsidR="007D76B5">
        <w:rPr>
          <w:rFonts w:ascii="Times" w:hAnsi="Times" w:cs="Calibri"/>
        </w:rPr>
        <w:fldChar w:fldCharType="begin"/>
      </w:r>
      <w:r w:rsidR="00D029EF">
        <w:rPr>
          <w:rFonts w:ascii="Times" w:hAnsi="Times" w:cs="Calibri"/>
        </w:rPr>
        <w:instrText xml:space="preserve"> ADDIN ZOTERO_ITEM CSL_CITATION {"citationID":"hKlB3hJZ","properties":{"formattedCitation":"\\super 2\\nosupersub{}","plainCitation":"2","noteIndex":0},"citationItems":[{"id":151,"uris":["http://zotero.org/users/10706980/items/Z75FPJHH"],"itemData":{"id":151,"type":"article-journal","abstract":"Measurements of continuous variables are made in all branches of medicine, aiding in the diagnosis and treatment of patients. In clinical practice it is helpful to label individuals as having or not having an attribute, such as being “hypertensive” or “obese” or having “high cholesterol,” depending on the value of a continuous variable.Categorisation of continuous variables is also common in clinical research, but here such simplicity is gained at some cost. Though grouping may help data presentation, notably in tables, categorisation is unnecessary for statistical analysis and it has some serious drawbacks. Here we consider the impact of converting continuous data to two groups (dichotomising), as this is the most common approach in clinical research.1What are the perceived advantages of forcing all individuals into two groups? A common argument is that it greatly simplifies the statistical analysis and leads to easy interpretation and presentation of results. A …","container-title":"BMJ","DOI":"10.1136/bmj.332.7549.1080","issue":"7549","journalAbbreviation":"BMJ","page":"1080","title":"The cost of dichotomising continuous variables","URL":"http://www.bmj.com/content/332/7549/1080.1.abstract","volume":"332","author":[{"family":"Altman","given":"Douglas G"},{"family":"Royston","given":"Patrick"}],"issued":{"date-parts":[["2006",5,4]]},"citation-key":"altmanCostDichotomisingContinuous2006"}}],"schema":"https://github.com/citation-style-language/schema/raw/master/csl-citation.json"} </w:instrText>
      </w:r>
      <w:r w:rsidR="007D76B5">
        <w:rPr>
          <w:rFonts w:ascii="Times" w:hAnsi="Times" w:cs="Calibri"/>
        </w:rPr>
        <w:fldChar w:fldCharType="separate"/>
      </w:r>
      <w:r w:rsidR="007D76B5" w:rsidRPr="007D76B5">
        <w:rPr>
          <w:rFonts w:ascii="Times" w:hAnsi="Times" w:cs="Times"/>
          <w:vertAlign w:val="superscript"/>
        </w:rPr>
        <w:t>2</w:t>
      </w:r>
      <w:r w:rsidR="007D76B5">
        <w:rPr>
          <w:rFonts w:ascii="Times" w:hAnsi="Times" w:cs="Calibri"/>
        </w:rPr>
        <w:fldChar w:fldCharType="end"/>
      </w:r>
      <w:r w:rsidR="007F4BCA">
        <w:rPr>
          <w:rFonts w:ascii="Times" w:hAnsi="Times" w:cs="Calibri"/>
        </w:rPr>
        <w:t xml:space="preserve"> </w:t>
      </w:r>
      <w:r w:rsidR="00720FD3">
        <w:rPr>
          <w:rFonts w:ascii="Times" w:hAnsi="Times" w:cs="Calibri"/>
        </w:rPr>
        <w:t xml:space="preserve">and </w:t>
      </w:r>
      <w:r w:rsidR="00D029EF">
        <w:rPr>
          <w:rFonts w:ascii="Times" w:hAnsi="Times" w:cs="Calibri"/>
        </w:rPr>
        <w:t>potentially</w:t>
      </w:r>
      <w:r w:rsidR="00720FD3">
        <w:rPr>
          <w:rFonts w:ascii="Times" w:hAnsi="Times" w:cs="Calibri"/>
        </w:rPr>
        <w:t xml:space="preserve"> </w:t>
      </w:r>
      <w:r w:rsidR="00D029EF">
        <w:rPr>
          <w:rFonts w:ascii="Times" w:hAnsi="Times" w:cs="Calibri"/>
        </w:rPr>
        <w:t>causes</w:t>
      </w:r>
      <w:r w:rsidR="00720FD3">
        <w:rPr>
          <w:rFonts w:ascii="Times" w:hAnsi="Times" w:cs="Calibri"/>
        </w:rPr>
        <w:t xml:space="preserve"> misleading </w:t>
      </w:r>
      <w:r w:rsidR="003F0EA3">
        <w:rPr>
          <w:rFonts w:ascii="Times" w:hAnsi="Times" w:cs="Calibri"/>
        </w:rPr>
        <w:t xml:space="preserve">results near the </w:t>
      </w:r>
      <w:r w:rsidR="006941AD">
        <w:rPr>
          <w:rFonts w:ascii="Times" w:hAnsi="Times" w:cs="Calibri"/>
        </w:rPr>
        <w:t>threshold value</w:t>
      </w:r>
      <w:r w:rsidR="007F4BCA">
        <w:rPr>
          <w:rFonts w:ascii="Times" w:hAnsi="Times" w:cs="Calibri"/>
        </w:rPr>
        <w:t>.</w:t>
      </w:r>
      <w:r w:rsidR="001D6D8D">
        <w:rPr>
          <w:rFonts w:ascii="Times" w:hAnsi="Times" w:cs="Calibri"/>
        </w:rPr>
        <w:fldChar w:fldCharType="begin"/>
      </w:r>
      <w:r w:rsidR="00D029EF">
        <w:rPr>
          <w:rFonts w:ascii="Times" w:hAnsi="Times" w:cs="Calibri"/>
        </w:rPr>
        <w:instrText xml:space="preserve"> ADDIN ZOTERO_ITEM CSL_CITATION {"citationID":"dR1HXkn1","properties":{"formattedCitation":"\\super 3\\nosupersub{}","plainCitation":"3","noteIndex":0},"citationItems":[{"id":152,"uris":["http://zotero.org/users/10706980/items/SCV3FWAB"],"itemData":{"id":152,"type":"article-journal","abstract":"Many clinical diagnostic tests, such as the joint fluid white blood cell count, produce results on a continuous scale, rather than a mere positive or negative. The accuracy of such tests is often reported as a positive and negative likelihood ratio at each of several potential cutoff points (e.g., ≥25,000/μL vs. not, ≥50,000/μL vs. not; ≥100,000/μL vs. not).  This Key Concepts article reviews the definition of a likelihood ratio and explains why the practice of dichotomizing the test is problematic. Instead, it proposes that such continuous scales be divided into multiple intervals (e.g., 0–25,000, &gt;25,000–50,000, &gt;50,000–100,000, &gt;100,000) and each interval be given its own likelihood ratio.  This practice not only aligns with clinical common sense and practice but also enables a more accurate estimate of the updated risk of disease, given a pre-test risk.","container-title":"Journal of Clinical Epidemiology","DOI":"10.1016/j.jclinepi.2021.07.012","ISSN":"0895-4356","journalAbbreviation":"Journal of Clinical Epidemiology","page":"157-160","title":"Key concepts in clinical epidemiology: reporting on the accuracy of continuous tests","URL":"https://www.sciencedirect.com/science/article/pii/S0895435621002201","volume":"141","author":[{"family":"Kohn","given":"Michael A."}],"issued":{"date-parts":[["2022",1,1]]},"citation-key":"kohnKeyConceptsClinical2022"}}],"schema":"https://github.com/citation-style-language/schema/raw/master/csl-citation.json"} </w:instrText>
      </w:r>
      <w:r w:rsidR="001D6D8D">
        <w:rPr>
          <w:rFonts w:ascii="Times" w:hAnsi="Times" w:cs="Calibri"/>
        </w:rPr>
        <w:fldChar w:fldCharType="separate"/>
      </w:r>
      <w:r w:rsidR="007D76B5" w:rsidRPr="007D76B5">
        <w:rPr>
          <w:rFonts w:ascii="Times" w:hAnsi="Times" w:cs="Times"/>
          <w:vertAlign w:val="superscript"/>
        </w:rPr>
        <w:t>3</w:t>
      </w:r>
      <w:r w:rsidR="001D6D8D">
        <w:rPr>
          <w:rFonts w:ascii="Times" w:hAnsi="Times" w:cs="Calibri"/>
        </w:rPr>
        <w:fldChar w:fldCharType="end"/>
      </w:r>
      <w:r w:rsidR="007F4BCA">
        <w:rPr>
          <w:rFonts w:ascii="Times" w:hAnsi="Times" w:cs="Calibri"/>
        </w:rPr>
        <w:t xml:space="preserve"> One method for </w:t>
      </w:r>
      <w:r w:rsidR="008D2BA8">
        <w:rPr>
          <w:rFonts w:ascii="Times" w:hAnsi="Times" w:cs="Calibri"/>
        </w:rPr>
        <w:t xml:space="preserve">addressing this limitation is modeling the influence of the covariate </w:t>
      </w:r>
      <w:r w:rsidR="0023160B">
        <w:rPr>
          <w:rFonts w:ascii="Times" w:hAnsi="Times" w:cs="Calibri"/>
        </w:rPr>
        <w:t xml:space="preserve">of interest as a continuous measure </w:t>
      </w:r>
      <w:r w:rsidR="00530EDE">
        <w:rPr>
          <w:rFonts w:ascii="Times" w:hAnsi="Times" w:cs="Calibri"/>
        </w:rPr>
        <w:t xml:space="preserve">with a strategy that does not assume a particular functional form </w:t>
      </w:r>
      <w:r w:rsidR="00212B30">
        <w:rPr>
          <w:rFonts w:ascii="Times" w:hAnsi="Times" w:cs="Calibri"/>
        </w:rPr>
        <w:t>(</w:t>
      </w:r>
      <w:r w:rsidR="00530EDE">
        <w:rPr>
          <w:rFonts w:ascii="Times" w:hAnsi="Times" w:cs="Calibri"/>
        </w:rPr>
        <w:t>shape of the relationship</w:t>
      </w:r>
      <w:r w:rsidR="00212B30">
        <w:rPr>
          <w:rFonts w:ascii="Times" w:hAnsi="Times" w:cs="Calibri"/>
        </w:rPr>
        <w:t>)</w:t>
      </w:r>
      <w:r w:rsidR="00530EDE">
        <w:rPr>
          <w:rFonts w:ascii="Times" w:hAnsi="Times" w:cs="Calibri"/>
        </w:rPr>
        <w:t>, such as restricted cubic splines</w:t>
      </w:r>
      <w:r w:rsidR="005B05BF">
        <w:rPr>
          <w:rFonts w:ascii="Times" w:hAnsi="Times" w:cs="Calibri"/>
        </w:rPr>
        <w:fldChar w:fldCharType="begin"/>
      </w:r>
      <w:r w:rsidR="00D029EF">
        <w:rPr>
          <w:rFonts w:ascii="Times" w:hAnsi="Times" w:cs="Calibri"/>
        </w:rPr>
        <w:instrText xml:space="preserve"> ADDIN ZOTERO_ITEM CSL_CITATION {"citationID":"pPa3J2pg","properties":{"formattedCitation":"\\super 4\\nosupersub{}","plainCitation":"4","noteIndex":0},"citationItems":[{"id":150,"uris":["http://zotero.org/users/10706980/items/NFP746UE"],"itemData":{"id":150,"type":"article-journal","abstract":"Abstract Taking into account a continuous exposure in regression models by using categorization, when non-linear dose-response associations are expected, have been widely criticized. As one alternative, restricted cubic spline (RCS) functions are powerful tools (i) to characterize a dose-response association between a continuous exposure and an outcome, (ii) to visually and/or statistically check the assumption of linearity of the association, and (iii) to minimize residual confounding when adjusting for a continuous exposure. Because their implementation with SAS? software is limited, we developed and present here an SAS macro that (i) creates an RCS function of continuous exposures, (ii) displays graphs showing the dose-response association with 95 per cent confidence interval between one main continuous exposure and an outcome when performing linear, logistic, or Cox models, as well as linear and logistic-generalized estimating equations, and (iii) provides statistical tests for overall and non-linear associations. We illustrate the SAS macro using the third National Health and Nutrition Examination Survey data to investigate adjusted dose-response associations (with different models) between calcium intake and bone mineral density (linear regression), folate intake and hyperhomocysteinemia (logistic regression), and serum high-density lipoprotein cholesterol and cardiovascular mortality (Cox model). Copyright ? 2010 John Wiley &amp; Sons, Ltd.","container-title":"Statistics in Medicine","DOI":"10.1002/sim.3841","ISSN":"0277-6715","issue":"9","journalAbbreviation":"Statistics in Medicine","note":"publisher: John Wiley &amp; Sons, Ltd","page":"1037-1057","title":"Dose-response analyses using restricted cubic spline functions in public health research","URL":"https://doi.org/10.1002/sim.3841","volume":"29","author":[{"family":"Desquilbet","given":"Loic"},{"family":"Mariotti","given":"François"}],"accessed":{"date-parts":[["2023",9,4]]},"issued":{"date-parts":[["2010",4,30]]},"citation-key":"desquilbetDoseresponseAnalysesUsing2010"}}],"schema":"https://github.com/citation-style-language/schema/raw/master/csl-citation.json"} </w:instrText>
      </w:r>
      <w:r w:rsidR="005B05BF">
        <w:rPr>
          <w:rFonts w:ascii="Times" w:hAnsi="Times" w:cs="Calibri"/>
        </w:rPr>
        <w:fldChar w:fldCharType="separate"/>
      </w:r>
      <w:r w:rsidR="005B05BF" w:rsidRPr="005B05BF">
        <w:rPr>
          <w:rFonts w:ascii="Times" w:hAnsi="Times" w:cs="Times"/>
          <w:vertAlign w:val="superscript"/>
        </w:rPr>
        <w:t>4</w:t>
      </w:r>
      <w:r w:rsidR="005B05BF">
        <w:rPr>
          <w:rFonts w:ascii="Times" w:hAnsi="Times" w:cs="Calibri"/>
        </w:rPr>
        <w:fldChar w:fldCharType="end"/>
      </w:r>
      <w:r w:rsidR="00530EDE">
        <w:rPr>
          <w:rFonts w:ascii="Times" w:hAnsi="Times" w:cs="Calibri"/>
        </w:rPr>
        <w:t xml:space="preserve">. Second, </w:t>
      </w:r>
      <w:r w:rsidR="00647410">
        <w:rPr>
          <w:rFonts w:ascii="Times" w:hAnsi="Times" w:cs="Calibri"/>
        </w:rPr>
        <w:t xml:space="preserve">the threshold that defines abnormal (uncommon) in the general population </w:t>
      </w:r>
      <w:r w:rsidR="00D029EF">
        <w:rPr>
          <w:rFonts w:ascii="Times" w:hAnsi="Times" w:cs="Calibri"/>
        </w:rPr>
        <w:t xml:space="preserve">is not necessarily the same </w:t>
      </w:r>
      <w:r w:rsidR="00647410">
        <w:rPr>
          <w:rFonts w:ascii="Times" w:hAnsi="Times" w:cs="Calibri"/>
        </w:rPr>
        <w:t xml:space="preserve">threshold </w:t>
      </w:r>
      <w:r w:rsidR="007179FB">
        <w:rPr>
          <w:rFonts w:ascii="Times" w:hAnsi="Times" w:cs="Calibri"/>
        </w:rPr>
        <w:t>where the findings</w:t>
      </w:r>
      <w:r w:rsidR="00D029EF">
        <w:rPr>
          <w:rFonts w:ascii="Times" w:hAnsi="Times" w:cs="Calibri"/>
        </w:rPr>
        <w:t xml:space="preserve"> are pathologic or</w:t>
      </w:r>
      <w:r w:rsidR="007179FB">
        <w:rPr>
          <w:rFonts w:ascii="Times" w:hAnsi="Times" w:cs="Calibri"/>
        </w:rPr>
        <w:t xml:space="preserve"> ha</w:t>
      </w:r>
      <w:r w:rsidR="00D9534A">
        <w:rPr>
          <w:rFonts w:ascii="Times" w:hAnsi="Times" w:cs="Calibri"/>
        </w:rPr>
        <w:t>ve</w:t>
      </w:r>
      <w:r w:rsidR="007179FB">
        <w:rPr>
          <w:rFonts w:ascii="Times" w:hAnsi="Times" w:cs="Calibri"/>
        </w:rPr>
        <w:t xml:space="preserve"> prognostic importance. For example,</w:t>
      </w:r>
      <w:r w:rsidR="00957D04">
        <w:rPr>
          <w:rFonts w:ascii="Times" w:hAnsi="Times" w:cs="Calibri"/>
        </w:rPr>
        <w:t xml:space="preserve"> being very tall may be uncommon but minimally important, while a cholesterol level within the </w:t>
      </w:r>
      <w:r w:rsidR="00632139">
        <w:rPr>
          <w:rFonts w:ascii="Times" w:hAnsi="Times" w:cs="Calibri"/>
        </w:rPr>
        <w:t>‘</w:t>
      </w:r>
      <w:r w:rsidR="00957D04">
        <w:rPr>
          <w:rFonts w:ascii="Times" w:hAnsi="Times" w:cs="Calibri"/>
        </w:rPr>
        <w:t>normal range</w:t>
      </w:r>
      <w:r w:rsidR="00632139">
        <w:rPr>
          <w:rFonts w:ascii="Times" w:hAnsi="Times" w:cs="Calibri"/>
        </w:rPr>
        <w:t>’</w:t>
      </w:r>
      <w:r w:rsidR="00957D04">
        <w:rPr>
          <w:rFonts w:ascii="Times" w:hAnsi="Times" w:cs="Calibri"/>
        </w:rPr>
        <w:t xml:space="preserve"> </w:t>
      </w:r>
      <w:r w:rsidR="00214887">
        <w:rPr>
          <w:rFonts w:ascii="Times" w:hAnsi="Times" w:cs="Calibri"/>
        </w:rPr>
        <w:t xml:space="preserve">may still indicate </w:t>
      </w:r>
      <w:r w:rsidR="00632139">
        <w:rPr>
          <w:rFonts w:ascii="Times" w:hAnsi="Times" w:cs="Calibri"/>
        </w:rPr>
        <w:t xml:space="preserve">an </w:t>
      </w:r>
      <w:r w:rsidR="00214887">
        <w:rPr>
          <w:rFonts w:ascii="Times" w:hAnsi="Times" w:cs="Calibri"/>
        </w:rPr>
        <w:t xml:space="preserve">increased risk of cardiovascular disease. </w:t>
      </w:r>
    </w:p>
    <w:p w14:paraId="3AFFE056" w14:textId="719C5D3C" w:rsidR="003A372F" w:rsidRPr="00D13894" w:rsidRDefault="00D029EF" w:rsidP="00D13894">
      <w:pPr>
        <w:spacing w:line="480" w:lineRule="auto"/>
        <w:ind w:firstLine="360"/>
        <w:rPr>
          <w:rFonts w:ascii="Times" w:hAnsi="Times" w:cs="Calibri"/>
        </w:rPr>
      </w:pPr>
      <w:r>
        <w:rPr>
          <w:rFonts w:ascii="Times" w:hAnsi="Times" w:cs="Calibri"/>
        </w:rPr>
        <w:t>We previously reported that enlarged PA by predicted an increased risk of death among patients without pulmonary embolism that received CT pulmonary angiogram (CTPA) in an Emergency department setting</w:t>
      </w:r>
      <w:r>
        <w:rPr>
          <w:rFonts w:ascii="Times" w:hAnsi="Times" w:cs="Calibri"/>
        </w:rPr>
        <w:fldChar w:fldCharType="begin"/>
      </w:r>
      <w:r>
        <w:rPr>
          <w:rFonts w:ascii="Times" w:hAnsi="Times" w:cs="Calibri"/>
        </w:rPr>
        <w:instrText xml:space="preserve"> ADDIN ZOTERO_ITEM CSL_CITATION {"citationID":"tjHqbRlv","properties":{"formattedCitation":"\\super 5\\nosupersub{}","plainCitation":"5","noteIndex":0},"citationItems":[{"id":153,"uris":["http://zotero.org/users/10706980/items/WGK7MZUB"],"itemData":{"id":153,"type":"article-journal","container-title":"Pulmonary Circulation","ISSN":"2045-8940","issue":"2","journalAbbreviation":"Pulmonary Circulation","note":"publisher: Wiley Online Library","page":"e12225","title":"The association between pulmonary artery enlargement and mortality in an Emergency Department population undergoing computed tomography pulmonary angiography","volume":"13","author":[{"family":"Scarpato","given":"Brittany M"},{"family":"Locke","given":"Brian W"},{"family":"Bledsoe","given":"Joseph"},{"family":"Knox","given":"Daniel B"},{"family":"Conner","given":"Karen"},{"family":"Stoddard","given":"Gregory J"},{"family":"Cirulis","given":"Meghan M"},{"family":"Elliott","given":"Charles Gregory"},{"family":"Dodson","given":"Mark W"}],"issued":{"date-parts":[["2023"]]},"citation-key":"scarpatoAssociationPulmonaryArtery2023"}}],"schema":"https://github.com/citation-style-language/schema/raw/master/csl-citation.json"} </w:instrText>
      </w:r>
      <w:r>
        <w:rPr>
          <w:rFonts w:ascii="Times" w:hAnsi="Times" w:cs="Calibri"/>
        </w:rPr>
        <w:fldChar w:fldCharType="separate"/>
      </w:r>
      <w:r w:rsidRPr="00D029EF">
        <w:rPr>
          <w:rFonts w:ascii="Times" w:hAnsi="Times" w:cs="Times"/>
          <w:vertAlign w:val="superscript"/>
        </w:rPr>
        <w:t>5</w:t>
      </w:r>
      <w:r>
        <w:rPr>
          <w:rFonts w:ascii="Times" w:hAnsi="Times" w:cs="Calibri"/>
        </w:rPr>
        <w:fldChar w:fldCharType="end"/>
      </w:r>
      <w:r>
        <w:rPr>
          <w:rFonts w:ascii="Times" w:hAnsi="Times" w:cs="Calibri"/>
        </w:rPr>
        <w:t xml:space="preserve">. In that analysis, older patients much more commonly had elevated </w:t>
      </w:r>
      <w:proofErr w:type="spellStart"/>
      <w:r>
        <w:rPr>
          <w:rFonts w:ascii="Times" w:hAnsi="Times" w:cs="Calibri"/>
        </w:rPr>
        <w:t>PAd</w:t>
      </w:r>
      <w:proofErr w:type="spellEnd"/>
      <w:r>
        <w:rPr>
          <w:rFonts w:ascii="Times" w:hAnsi="Times" w:cs="Calibri"/>
        </w:rPr>
        <w:t xml:space="preserve"> while younger patients had enlarged </w:t>
      </w:r>
      <w:proofErr w:type="gramStart"/>
      <w:r>
        <w:rPr>
          <w:rFonts w:ascii="Times" w:hAnsi="Times" w:cs="Calibri"/>
        </w:rPr>
        <w:t>PA:AA</w:t>
      </w:r>
      <w:proofErr w:type="gramEnd"/>
      <w:r>
        <w:rPr>
          <w:rFonts w:ascii="Times" w:hAnsi="Times" w:cs="Calibri"/>
        </w:rPr>
        <w:t xml:space="preserve">. Thus, we performed this secondary analysis to </w:t>
      </w:r>
      <w:r w:rsidR="00214887">
        <w:rPr>
          <w:rFonts w:ascii="Times" w:hAnsi="Times" w:cs="Calibri"/>
        </w:rPr>
        <w:t xml:space="preserve">evaluate </w:t>
      </w:r>
      <w:r w:rsidR="0080152F">
        <w:rPr>
          <w:rFonts w:ascii="Times" w:hAnsi="Times" w:cs="Calibri"/>
        </w:rPr>
        <w:t xml:space="preserve">the “dose-response” relationship </w:t>
      </w:r>
      <w:r w:rsidR="00AE1CF6">
        <w:rPr>
          <w:rFonts w:ascii="Times" w:hAnsi="Times" w:cs="Calibri"/>
        </w:rPr>
        <w:t xml:space="preserve">of </w:t>
      </w:r>
      <w:r w:rsidR="0080152F">
        <w:rPr>
          <w:rFonts w:ascii="Times" w:hAnsi="Times" w:cs="Calibri"/>
        </w:rPr>
        <w:t>enlarged PA size and mortality risk</w:t>
      </w:r>
      <w:r w:rsidR="00AE1CF6">
        <w:rPr>
          <w:rFonts w:ascii="Times" w:hAnsi="Times" w:cs="Calibri"/>
        </w:rPr>
        <w:t>,</w:t>
      </w:r>
      <w:r>
        <w:rPr>
          <w:rFonts w:ascii="Times" w:hAnsi="Times" w:cs="Calibri"/>
        </w:rPr>
        <w:t xml:space="preserve"> with </w:t>
      </w:r>
      <w:r>
        <w:rPr>
          <w:rFonts w:ascii="Times" w:hAnsi="Times" w:cs="Calibri"/>
        </w:rPr>
        <w:lastRenderedPageBreak/>
        <w:t>additional stratification by age to evaluate whether these frequent elevations were equally correlated with risk of death</w:t>
      </w:r>
      <w:r w:rsidR="00B33108">
        <w:rPr>
          <w:rFonts w:ascii="Times" w:hAnsi="Times" w:cs="Calibri"/>
        </w:rPr>
        <w:t>.</w:t>
      </w:r>
      <w:r w:rsidR="001063B5">
        <w:rPr>
          <w:rFonts w:ascii="Times" w:hAnsi="Times" w:cs="Calibri"/>
        </w:rPr>
        <w:t xml:space="preserve"> </w:t>
      </w:r>
      <w:r w:rsidR="003A372F">
        <w:br w:type="page"/>
      </w:r>
    </w:p>
    <w:p w14:paraId="3BF5369D" w14:textId="0D4C164B" w:rsidR="00D92A27" w:rsidRPr="004E142F" w:rsidRDefault="00D92A27" w:rsidP="006014D8">
      <w:pPr>
        <w:pStyle w:val="Heading1"/>
      </w:pPr>
      <w:r w:rsidRPr="004E142F">
        <w:lastRenderedPageBreak/>
        <w:t xml:space="preserve">Methods: </w:t>
      </w:r>
    </w:p>
    <w:p w14:paraId="61856C8F" w14:textId="539764BF" w:rsidR="00F315CF" w:rsidRDefault="000D791F" w:rsidP="00DE4E55">
      <w:pPr>
        <w:spacing w:before="240" w:line="480" w:lineRule="auto"/>
        <w:ind w:firstLine="720"/>
        <w:rPr>
          <w:rFonts w:ascii="Times" w:hAnsi="Times"/>
        </w:rPr>
      </w:pPr>
      <w:r>
        <w:rPr>
          <w:rFonts w:ascii="Times" w:hAnsi="Times"/>
        </w:rPr>
        <w:t>T</w:t>
      </w:r>
      <w:r w:rsidR="00A34104">
        <w:rPr>
          <w:rFonts w:ascii="Times" w:hAnsi="Times"/>
        </w:rPr>
        <w:t>h</w:t>
      </w:r>
      <w:r w:rsidR="00F56331">
        <w:rPr>
          <w:rFonts w:ascii="Times" w:hAnsi="Times"/>
        </w:rPr>
        <w:t>is is a secondary analysis of a previously reported cohort study</w:t>
      </w:r>
      <w:r w:rsidR="004362C0">
        <w:rPr>
          <w:rFonts w:ascii="Times" w:hAnsi="Times"/>
        </w:rPr>
        <w:t>,</w:t>
      </w:r>
      <w:r w:rsidR="00F56331">
        <w:rPr>
          <w:rFonts w:ascii="Times" w:hAnsi="Times"/>
        </w:rPr>
        <w:t xml:space="preserve"> reported in full elsewhere</w:t>
      </w:r>
      <w:r w:rsidR="00EE6127">
        <w:rPr>
          <w:rFonts w:ascii="Times" w:hAnsi="Times"/>
        </w:rPr>
        <w:t>.</w:t>
      </w:r>
      <w:r w:rsidR="00EE6127">
        <w:rPr>
          <w:rFonts w:ascii="Times" w:hAnsi="Times"/>
        </w:rPr>
        <w:fldChar w:fldCharType="begin"/>
      </w:r>
      <w:r w:rsidR="00D029EF">
        <w:rPr>
          <w:rFonts w:ascii="Times" w:hAnsi="Times"/>
        </w:rPr>
        <w:instrText xml:space="preserve"> ADDIN ZOTERO_ITEM CSL_CITATION {"citationID":"QCaJ491f","properties":{"formattedCitation":"\\super 5\\nosupersub{}","plainCitation":"5","noteIndex":0},"citationItems":[{"id":153,"uris":["http://zotero.org/users/10706980/items/WGK7MZUB"],"itemData":{"id":153,"type":"article-journal","container-title":"Pulmonary Circulation","ISSN":"2045-8940","issue":"2","journalAbbreviation":"Pulmonary Circulation","note":"publisher: Wiley Online Library","page":"e12225","title":"The association between pulmonary artery enlargement and mortality in an Emergency Department population undergoing computed tomography pulmonary angiography","volume":"13","author":[{"family":"Scarpato","given":"Brittany M"},{"family":"Locke","given":"Brian W"},{"family":"Bledsoe","given":"Joseph"},{"family":"Knox","given":"Daniel B"},{"family":"Conner","given":"Karen"},{"family":"Stoddard","given":"Gregory J"},{"family":"Cirulis","given":"Meghan M"},{"family":"Elliott","given":"Charles Gregory"},{"family":"Dodson","given":"Mark W"}],"issued":{"date-parts":[["2023"]]},"citation-key":"scarpatoAssociationPulmonaryArtery2023"}}],"schema":"https://github.com/citation-style-language/schema/raw/master/csl-citation.json"} </w:instrText>
      </w:r>
      <w:r w:rsidR="00EE6127">
        <w:rPr>
          <w:rFonts w:ascii="Times" w:hAnsi="Times"/>
        </w:rPr>
        <w:fldChar w:fldCharType="separate"/>
      </w:r>
      <w:r w:rsidR="005B05BF" w:rsidRPr="005B05BF">
        <w:rPr>
          <w:rFonts w:ascii="Times" w:hAnsi="Times" w:cs="Times"/>
          <w:vertAlign w:val="superscript"/>
        </w:rPr>
        <w:t>5</w:t>
      </w:r>
      <w:r w:rsidR="00EE6127">
        <w:rPr>
          <w:rFonts w:ascii="Times" w:hAnsi="Times"/>
        </w:rPr>
        <w:fldChar w:fldCharType="end"/>
      </w:r>
      <w:r w:rsidR="00F56331">
        <w:rPr>
          <w:rFonts w:ascii="Times" w:hAnsi="Times"/>
        </w:rPr>
        <w:t xml:space="preserve"> </w:t>
      </w:r>
      <w:r w:rsidR="00291958" w:rsidRPr="004E142F">
        <w:rPr>
          <w:rFonts w:ascii="Times" w:hAnsi="Times"/>
        </w:rPr>
        <w:t xml:space="preserve"> </w:t>
      </w:r>
      <w:r w:rsidR="00ED7887">
        <w:rPr>
          <w:rFonts w:ascii="Times" w:hAnsi="Times"/>
        </w:rPr>
        <w:t xml:space="preserve"> </w:t>
      </w:r>
      <w:r w:rsidR="000B0702">
        <w:rPr>
          <w:rFonts w:ascii="Times" w:hAnsi="Times"/>
        </w:rPr>
        <w:t>Briefly,</w:t>
      </w:r>
      <w:r w:rsidR="007768CD">
        <w:rPr>
          <w:rFonts w:ascii="Times" w:hAnsi="Times"/>
        </w:rPr>
        <w:t xml:space="preserve"> 3160</w:t>
      </w:r>
      <w:r w:rsidR="004B6161">
        <w:rPr>
          <w:rFonts w:ascii="Times" w:hAnsi="Times"/>
        </w:rPr>
        <w:t xml:space="preserve"> </w:t>
      </w:r>
      <w:r w:rsidR="00D029EF">
        <w:rPr>
          <w:rFonts w:ascii="Times" w:hAnsi="Times"/>
        </w:rPr>
        <w:t>consecutive</w:t>
      </w:r>
      <w:r w:rsidR="000B0702">
        <w:rPr>
          <w:rFonts w:ascii="Times" w:hAnsi="Times"/>
        </w:rPr>
        <w:t xml:space="preserve"> CTPAs </w:t>
      </w:r>
      <w:r w:rsidR="00D029EF">
        <w:rPr>
          <w:rFonts w:ascii="Times" w:hAnsi="Times"/>
        </w:rPr>
        <w:t xml:space="preserve">that were negative for acute pulmonary embolism were </w:t>
      </w:r>
      <w:r w:rsidR="000B0702">
        <w:rPr>
          <w:rFonts w:ascii="Times" w:hAnsi="Times"/>
        </w:rPr>
        <w:t xml:space="preserve">obtained </w:t>
      </w:r>
      <w:r w:rsidR="00C024C9">
        <w:rPr>
          <w:rFonts w:ascii="Times" w:hAnsi="Times"/>
        </w:rPr>
        <w:t>in Emergency Departments of</w:t>
      </w:r>
      <w:r w:rsidR="000B0702">
        <w:rPr>
          <w:rFonts w:ascii="Times" w:hAnsi="Times"/>
        </w:rPr>
        <w:t xml:space="preserve"> </w:t>
      </w:r>
      <w:r w:rsidR="007768CD">
        <w:rPr>
          <w:rFonts w:ascii="Times" w:hAnsi="Times"/>
        </w:rPr>
        <w:t xml:space="preserve">Intermountain Medical Center or LDS Hospital </w:t>
      </w:r>
      <w:r w:rsidR="00340600">
        <w:rPr>
          <w:rFonts w:ascii="Times" w:hAnsi="Times"/>
        </w:rPr>
        <w:t>(</w:t>
      </w:r>
      <w:r w:rsidR="007768CD">
        <w:rPr>
          <w:rFonts w:ascii="Times" w:hAnsi="Times"/>
        </w:rPr>
        <w:t>Salt Lake City</w:t>
      </w:r>
      <w:r w:rsidR="00340600">
        <w:rPr>
          <w:rFonts w:ascii="Times" w:hAnsi="Times"/>
        </w:rPr>
        <w:t>, 4300 feet elevation)</w:t>
      </w:r>
      <w:r w:rsidR="004B6161">
        <w:rPr>
          <w:rFonts w:ascii="Times" w:hAnsi="Times"/>
        </w:rPr>
        <w:t xml:space="preserve"> between </w:t>
      </w:r>
      <w:r w:rsidR="00F41831">
        <w:rPr>
          <w:rFonts w:ascii="Times" w:hAnsi="Times"/>
        </w:rPr>
        <w:t>May</w:t>
      </w:r>
      <w:r w:rsidR="003B278A">
        <w:rPr>
          <w:rFonts w:ascii="Times" w:hAnsi="Times"/>
        </w:rPr>
        <w:t xml:space="preserve"> 22,</w:t>
      </w:r>
      <w:r w:rsidR="00F41831">
        <w:rPr>
          <w:rFonts w:ascii="Times" w:hAnsi="Times"/>
        </w:rPr>
        <w:t xml:space="preserve"> 2009 and June</w:t>
      </w:r>
      <w:r w:rsidR="003B278A">
        <w:rPr>
          <w:rFonts w:ascii="Times" w:hAnsi="Times"/>
        </w:rPr>
        <w:t xml:space="preserve"> 30,</w:t>
      </w:r>
      <w:r w:rsidR="00F41831">
        <w:rPr>
          <w:rFonts w:ascii="Times" w:hAnsi="Times"/>
        </w:rPr>
        <w:t xml:space="preserve"> </w:t>
      </w:r>
      <w:r w:rsidR="00D029EF">
        <w:rPr>
          <w:rFonts w:ascii="Times" w:hAnsi="Times"/>
        </w:rPr>
        <w:t>2010. A</w:t>
      </w:r>
      <w:r w:rsidR="005F4E53">
        <w:rPr>
          <w:rFonts w:ascii="Times" w:hAnsi="Times"/>
        </w:rPr>
        <w:t xml:space="preserve"> random sample of 1000 </w:t>
      </w:r>
      <w:r w:rsidR="00BA2801">
        <w:rPr>
          <w:rFonts w:ascii="Times" w:hAnsi="Times"/>
        </w:rPr>
        <w:t xml:space="preserve">CTPAs </w:t>
      </w:r>
      <w:r w:rsidR="005F4E53">
        <w:rPr>
          <w:rFonts w:ascii="Times" w:hAnsi="Times"/>
        </w:rPr>
        <w:t>were reviewed</w:t>
      </w:r>
      <w:r w:rsidR="00F41831">
        <w:rPr>
          <w:rFonts w:ascii="Times" w:hAnsi="Times"/>
        </w:rPr>
        <w:t>.</w:t>
      </w:r>
      <w:r w:rsidR="00741537">
        <w:rPr>
          <w:rFonts w:ascii="Times" w:hAnsi="Times"/>
        </w:rPr>
        <w:t xml:space="preserve">  </w:t>
      </w:r>
      <w:r w:rsidR="00F36AD1">
        <w:rPr>
          <w:rFonts w:ascii="Times" w:hAnsi="Times"/>
        </w:rPr>
        <w:t xml:space="preserve">Patients were excluded </w:t>
      </w:r>
      <w:r w:rsidR="00556476">
        <w:rPr>
          <w:rFonts w:ascii="Times" w:hAnsi="Times"/>
        </w:rPr>
        <w:t xml:space="preserve">for no follow-up within the health system, complete absence of comorbidity data, or repeat </w:t>
      </w:r>
      <w:r w:rsidR="00D029EF">
        <w:rPr>
          <w:rFonts w:ascii="Times" w:hAnsi="Times"/>
        </w:rPr>
        <w:t xml:space="preserve">CTPAs. </w:t>
      </w:r>
    </w:p>
    <w:p w14:paraId="44AEFE7C" w14:textId="3B51D62F" w:rsidR="00A34104" w:rsidRDefault="001063EA" w:rsidP="00DE4E55">
      <w:pPr>
        <w:spacing w:before="240" w:line="480" w:lineRule="auto"/>
        <w:ind w:firstLine="720"/>
        <w:rPr>
          <w:rFonts w:ascii="Times" w:hAnsi="Times"/>
        </w:rPr>
      </w:pPr>
      <w:r>
        <w:rPr>
          <w:rFonts w:ascii="Times" w:hAnsi="Times"/>
        </w:rPr>
        <w:t xml:space="preserve">PAd </w:t>
      </w:r>
      <w:r w:rsidR="009567F9">
        <w:rPr>
          <w:rFonts w:ascii="Times" w:hAnsi="Times"/>
        </w:rPr>
        <w:t>(at the</w:t>
      </w:r>
      <w:r w:rsidR="001E4665">
        <w:rPr>
          <w:rFonts w:ascii="Times" w:hAnsi="Times"/>
        </w:rPr>
        <w:t xml:space="preserve"> main PA</w:t>
      </w:r>
      <w:r w:rsidR="009567F9">
        <w:rPr>
          <w:rFonts w:ascii="Times" w:hAnsi="Times"/>
        </w:rPr>
        <w:t xml:space="preserve"> bifurcation) </w:t>
      </w:r>
      <w:r>
        <w:rPr>
          <w:rFonts w:ascii="Times" w:hAnsi="Times"/>
        </w:rPr>
        <w:t xml:space="preserve">and </w:t>
      </w:r>
      <w:proofErr w:type="gramStart"/>
      <w:r>
        <w:rPr>
          <w:rFonts w:ascii="Times" w:hAnsi="Times"/>
        </w:rPr>
        <w:t>PA:AA</w:t>
      </w:r>
      <w:proofErr w:type="gramEnd"/>
      <w:r w:rsidR="001E4665">
        <w:rPr>
          <w:rFonts w:ascii="Times" w:hAnsi="Times"/>
        </w:rPr>
        <w:t xml:space="preserve"> (</w:t>
      </w:r>
      <w:r w:rsidR="002F0299">
        <w:rPr>
          <w:rFonts w:ascii="Times" w:hAnsi="Times"/>
        </w:rPr>
        <w:t xml:space="preserve">AA </w:t>
      </w:r>
      <w:r w:rsidR="001E4665">
        <w:rPr>
          <w:rFonts w:ascii="Times" w:hAnsi="Times"/>
        </w:rPr>
        <w:t>at the same level as the PA)</w:t>
      </w:r>
      <w:r>
        <w:rPr>
          <w:rFonts w:ascii="Times" w:hAnsi="Times"/>
        </w:rPr>
        <w:t xml:space="preserve"> were manually measured</w:t>
      </w:r>
      <w:r w:rsidR="00F155B5">
        <w:rPr>
          <w:rFonts w:ascii="Times" w:hAnsi="Times"/>
        </w:rPr>
        <w:t xml:space="preserve">. </w:t>
      </w:r>
      <w:r w:rsidR="00F213CF">
        <w:rPr>
          <w:rFonts w:ascii="Times" w:hAnsi="Times"/>
        </w:rPr>
        <w:t>Demographics,</w:t>
      </w:r>
      <w:r w:rsidR="000D2CF0">
        <w:rPr>
          <w:rFonts w:ascii="Times" w:hAnsi="Times"/>
        </w:rPr>
        <w:t xml:space="preserve"> weight,</w:t>
      </w:r>
      <w:r w:rsidR="006931A2">
        <w:rPr>
          <w:rFonts w:ascii="Times" w:hAnsi="Times"/>
        </w:rPr>
        <w:t xml:space="preserve"> and</w:t>
      </w:r>
      <w:r w:rsidR="00F213CF">
        <w:rPr>
          <w:rFonts w:ascii="Times" w:hAnsi="Times"/>
        </w:rPr>
        <w:t xml:space="preserve"> medical diagnoses</w:t>
      </w:r>
      <w:r w:rsidR="000D2CF0">
        <w:rPr>
          <w:rFonts w:ascii="Times" w:hAnsi="Times"/>
        </w:rPr>
        <w:t xml:space="preserve"> rendered prior to the CTPA</w:t>
      </w:r>
      <w:r w:rsidR="006931A2">
        <w:rPr>
          <w:rFonts w:ascii="Times" w:hAnsi="Times"/>
        </w:rPr>
        <w:t xml:space="preserve"> were </w:t>
      </w:r>
      <w:r w:rsidR="00CC2136">
        <w:rPr>
          <w:rFonts w:ascii="Times" w:hAnsi="Times"/>
        </w:rPr>
        <w:t xml:space="preserve">extracted from the electronic medical record. </w:t>
      </w:r>
      <w:r w:rsidR="00050232">
        <w:rPr>
          <w:rFonts w:ascii="Times" w:hAnsi="Times"/>
        </w:rPr>
        <w:t xml:space="preserve">Vital status </w:t>
      </w:r>
      <w:r w:rsidR="00331A3F">
        <w:rPr>
          <w:rFonts w:ascii="Times" w:hAnsi="Times"/>
        </w:rPr>
        <w:t>was assessed through</w:t>
      </w:r>
      <w:r w:rsidR="004362C0">
        <w:rPr>
          <w:rFonts w:ascii="Times" w:hAnsi="Times"/>
        </w:rPr>
        <w:t xml:space="preserve"> October 1, </w:t>
      </w:r>
      <w:proofErr w:type="gramStart"/>
      <w:r w:rsidR="00D029EF">
        <w:rPr>
          <w:rFonts w:ascii="Times" w:hAnsi="Times"/>
        </w:rPr>
        <w:t>2021</w:t>
      </w:r>
      <w:proofErr w:type="gramEnd"/>
      <w:r w:rsidR="004362C0">
        <w:rPr>
          <w:rFonts w:ascii="Times" w:hAnsi="Times"/>
        </w:rPr>
        <w:t xml:space="preserve"> </w:t>
      </w:r>
      <w:r w:rsidR="00D029EF">
        <w:rPr>
          <w:rFonts w:ascii="Times" w:hAnsi="Times"/>
        </w:rPr>
        <w:t>using</w:t>
      </w:r>
      <w:r w:rsidR="00331A3F">
        <w:rPr>
          <w:rFonts w:ascii="Times" w:hAnsi="Times"/>
        </w:rPr>
        <w:t xml:space="preserve"> </w:t>
      </w:r>
      <w:r w:rsidR="004362C0">
        <w:rPr>
          <w:rFonts w:ascii="Times" w:hAnsi="Times"/>
        </w:rPr>
        <w:t>health records and local death registries.</w:t>
      </w:r>
    </w:p>
    <w:p w14:paraId="1936CFA6" w14:textId="298B9DC4" w:rsidR="0000781C" w:rsidRDefault="0000781C" w:rsidP="003F5722">
      <w:pPr>
        <w:spacing w:line="480" w:lineRule="auto"/>
        <w:ind w:firstLine="720"/>
        <w:rPr>
          <w:rFonts w:ascii="Times" w:hAnsi="Times"/>
        </w:rPr>
      </w:pPr>
      <w:r>
        <w:rPr>
          <w:rFonts w:ascii="Times" w:hAnsi="Times"/>
        </w:rPr>
        <w:t>The independen</w:t>
      </w:r>
      <w:r w:rsidR="00AD6E9F">
        <w:rPr>
          <w:rFonts w:ascii="Times" w:hAnsi="Times"/>
        </w:rPr>
        <w:t>t association</w:t>
      </w:r>
      <w:r>
        <w:rPr>
          <w:rFonts w:ascii="Times" w:hAnsi="Times"/>
        </w:rPr>
        <w:t xml:space="preserve"> of </w:t>
      </w:r>
      <w:r w:rsidR="007F1FA8">
        <w:rPr>
          <w:rFonts w:ascii="Times" w:hAnsi="Times"/>
        </w:rPr>
        <w:t>age</w:t>
      </w:r>
      <w:r w:rsidR="00AD6E9F">
        <w:rPr>
          <w:rFonts w:ascii="Times" w:hAnsi="Times"/>
        </w:rPr>
        <w:t xml:space="preserve"> (by decade)</w:t>
      </w:r>
      <w:r w:rsidR="007F1FA8">
        <w:rPr>
          <w:rFonts w:ascii="Times" w:hAnsi="Times"/>
        </w:rPr>
        <w:t>, gender, and medical comorbidities</w:t>
      </w:r>
      <w:r w:rsidR="00AD6E9F">
        <w:rPr>
          <w:rFonts w:ascii="Times" w:hAnsi="Times"/>
        </w:rPr>
        <w:t xml:space="preserve"> with PA size</w:t>
      </w:r>
      <w:r w:rsidR="003D132E">
        <w:rPr>
          <w:rFonts w:ascii="Times" w:hAnsi="Times"/>
        </w:rPr>
        <w:t xml:space="preserve"> (both PAd and PA:AA)</w:t>
      </w:r>
      <w:r w:rsidR="007F1FA8">
        <w:rPr>
          <w:rFonts w:ascii="Times" w:hAnsi="Times"/>
        </w:rPr>
        <w:t xml:space="preserve"> was modelled using </w:t>
      </w:r>
      <w:r w:rsidR="00DE5D90">
        <w:rPr>
          <w:rFonts w:ascii="Times" w:hAnsi="Times"/>
        </w:rPr>
        <w:t>Poisson regression to estimate the</w:t>
      </w:r>
      <w:r w:rsidR="00B33108">
        <w:rPr>
          <w:rFonts w:ascii="Times" w:hAnsi="Times"/>
        </w:rPr>
        <w:t xml:space="preserve"> </w:t>
      </w:r>
      <w:r w:rsidR="00DE5D90">
        <w:rPr>
          <w:rFonts w:ascii="Times" w:hAnsi="Times"/>
        </w:rPr>
        <w:t>prevalence ratio</w:t>
      </w:r>
      <w:r w:rsidR="00B33108">
        <w:rPr>
          <w:rFonts w:ascii="Times" w:hAnsi="Times"/>
        </w:rPr>
        <w:t xml:space="preserve"> by age</w:t>
      </w:r>
      <w:r w:rsidR="00DE5D90">
        <w:rPr>
          <w:rFonts w:ascii="Times" w:hAnsi="Times"/>
        </w:rPr>
        <w:t xml:space="preserve"> using the traditional thresholds from Truong et al</w:t>
      </w:r>
      <w:r w:rsidR="003370CC">
        <w:rPr>
          <w:rFonts w:ascii="Times" w:hAnsi="Times"/>
        </w:rPr>
        <w:fldChar w:fldCharType="begin"/>
      </w:r>
      <w:r w:rsidR="003370CC">
        <w:rPr>
          <w:rFonts w:ascii="Times" w:hAnsi="Times"/>
        </w:rPr>
        <w:instrText xml:space="preserve"> ADDIN ZOTERO_ITEM CSL_CITATION {"citationID":"ylEriRhN","properties":{"formattedCitation":"\\super 1\\nosupersub{}","plainCitation":"1","noteIndex":0},"citationItems":[{"id":154,"uris":["http://zotero.org/users/10706980/items/9BFGGDBR"],"itemData":{"id":154,"type":"article-journal","container-title":"Circulation: Cardiovascular Imaging","ISSN":"1941-9651","issue":"1","journalAbbreviation":"Circulation: Cardiovascular Imaging","note":"publisher: Am Heart Assoc","page":"147-154","title":"Reference values for normal pulmonary artery dimensions by noncontrast cardiac computed tomography: the Framingham Heart Study","volume":"5","author":[{"family":"Truong","given":"Quynh A"},{"family":"Massaro","given":"Joseph M"},{"family":"Rogers","given":"Ian S"},{"family":"Mahabadi","given":"Amir A"},{"family":"Kriegel","given":"Matthias F"},{"family":"Fox","given":"Caroline S"},{"family":"O'Donnell","given":"Christopher J"},{"family":"Hoffmann","given":"Udo"}],"issued":{"date-parts":[["2012"]]},"citation-key":"truongReferenceValuesNormal2012"}}],"schema":"https://github.com/citation-style-language/schema/raw/master/csl-citation.json"} </w:instrText>
      </w:r>
      <w:r w:rsidR="003370CC">
        <w:rPr>
          <w:rFonts w:ascii="Times" w:hAnsi="Times"/>
        </w:rPr>
        <w:fldChar w:fldCharType="separate"/>
      </w:r>
      <w:r w:rsidR="003370CC" w:rsidRPr="003370CC">
        <w:rPr>
          <w:rFonts w:ascii="Times" w:hAnsi="Times" w:cs="Times"/>
          <w:vertAlign w:val="superscript"/>
        </w:rPr>
        <w:t>1</w:t>
      </w:r>
      <w:r w:rsidR="003370CC">
        <w:rPr>
          <w:rFonts w:ascii="Times" w:hAnsi="Times"/>
        </w:rPr>
        <w:fldChar w:fldCharType="end"/>
      </w:r>
      <w:r w:rsidR="00B33108">
        <w:rPr>
          <w:rFonts w:ascii="Times" w:hAnsi="Times"/>
        </w:rPr>
        <w:t>, after correcting for comorbidities</w:t>
      </w:r>
      <w:r w:rsidR="007F1FA8">
        <w:rPr>
          <w:rFonts w:ascii="Times" w:hAnsi="Times"/>
        </w:rPr>
        <w:t>.</w:t>
      </w:r>
      <w:r w:rsidR="008D7791">
        <w:rPr>
          <w:rFonts w:ascii="Times" w:hAnsi="Times"/>
        </w:rPr>
        <w:t xml:space="preserve"> PA diameter was sex-normalized by subtracting 1mm from male values and adding 1mm to female values.</w:t>
      </w:r>
      <w:r w:rsidR="00B33108">
        <w:rPr>
          <w:rFonts w:ascii="Times" w:hAnsi="Times"/>
        </w:rPr>
        <w:t xml:space="preserve"> Linear regression (mean), and quantile regression at 50</w:t>
      </w:r>
      <w:r w:rsidR="00B33108" w:rsidRPr="00B33108">
        <w:rPr>
          <w:rFonts w:ascii="Times" w:hAnsi="Times"/>
          <w:vertAlign w:val="superscript"/>
        </w:rPr>
        <w:t>th</w:t>
      </w:r>
      <w:r w:rsidR="00B33108">
        <w:rPr>
          <w:rFonts w:ascii="Times" w:hAnsi="Times"/>
        </w:rPr>
        <w:t xml:space="preserve"> percentile (median) and 90</w:t>
      </w:r>
      <w:r w:rsidR="00B33108" w:rsidRPr="00B33108">
        <w:rPr>
          <w:rFonts w:ascii="Times" w:hAnsi="Times"/>
          <w:vertAlign w:val="superscript"/>
        </w:rPr>
        <w:t>th</w:t>
      </w:r>
      <w:r w:rsidR="00B33108">
        <w:rPr>
          <w:rFonts w:ascii="Times" w:hAnsi="Times"/>
        </w:rPr>
        <w:t xml:space="preserve"> percentile </w:t>
      </w:r>
      <w:proofErr w:type="gramStart"/>
      <w:r w:rsidR="00B33108">
        <w:rPr>
          <w:rFonts w:ascii="Times" w:hAnsi="Times"/>
        </w:rPr>
        <w:t>were</w:t>
      </w:r>
      <w:proofErr w:type="gramEnd"/>
      <w:r w:rsidR="00B33108">
        <w:rPr>
          <w:rFonts w:ascii="Times" w:hAnsi="Times"/>
        </w:rPr>
        <w:t xml:space="preserve"> used to evaluate the influence</w:t>
      </w:r>
      <w:r w:rsidR="00857501">
        <w:rPr>
          <w:rFonts w:ascii="Times" w:hAnsi="Times"/>
        </w:rPr>
        <w:t xml:space="preserve"> </w:t>
      </w:r>
      <w:r w:rsidR="00B33108">
        <w:rPr>
          <w:rFonts w:ascii="Times" w:hAnsi="Times"/>
        </w:rPr>
        <w:t xml:space="preserve">of age on the frequency of various degrees of enlargement. </w:t>
      </w:r>
      <w:r w:rsidR="00857501">
        <w:rPr>
          <w:rFonts w:ascii="Times" w:hAnsi="Times"/>
        </w:rPr>
        <w:t>Hazard of death was estimated using Cox</w:t>
      </w:r>
      <w:r w:rsidR="00F166B2">
        <w:rPr>
          <w:rFonts w:ascii="Times" w:hAnsi="Times"/>
        </w:rPr>
        <w:t xml:space="preserve"> regression</w:t>
      </w:r>
      <w:r w:rsidR="00857501">
        <w:rPr>
          <w:rFonts w:ascii="Times" w:hAnsi="Times"/>
        </w:rPr>
        <w:t xml:space="preserve"> with age (stratified by decade), gender</w:t>
      </w:r>
      <w:r w:rsidR="00930797">
        <w:rPr>
          <w:rFonts w:ascii="Times" w:hAnsi="Times"/>
        </w:rPr>
        <w:t>,</w:t>
      </w:r>
      <w:r w:rsidR="00857501">
        <w:rPr>
          <w:rFonts w:ascii="Times" w:hAnsi="Times"/>
        </w:rPr>
        <w:t xml:space="preserve"> and </w:t>
      </w:r>
      <w:r w:rsidR="0043145F">
        <w:rPr>
          <w:rFonts w:ascii="Times" w:hAnsi="Times"/>
        </w:rPr>
        <w:t xml:space="preserve">PA </w:t>
      </w:r>
      <w:r w:rsidR="003D132E">
        <w:rPr>
          <w:rFonts w:ascii="Times" w:hAnsi="Times"/>
        </w:rPr>
        <w:t xml:space="preserve">size </w:t>
      </w:r>
      <w:r w:rsidR="00227DCA">
        <w:rPr>
          <w:rFonts w:ascii="Times" w:hAnsi="Times"/>
        </w:rPr>
        <w:t>represented with</w:t>
      </w:r>
      <w:r w:rsidR="003D132E">
        <w:rPr>
          <w:rFonts w:ascii="Times" w:hAnsi="Times"/>
        </w:rPr>
        <w:t xml:space="preserve"> a</w:t>
      </w:r>
      <w:r w:rsidR="00227DCA">
        <w:rPr>
          <w:rFonts w:ascii="Times" w:hAnsi="Times"/>
        </w:rPr>
        <w:t xml:space="preserve"> 4-knot</w:t>
      </w:r>
      <w:r w:rsidR="003D132E">
        <w:rPr>
          <w:rFonts w:ascii="Times" w:hAnsi="Times"/>
        </w:rPr>
        <w:t xml:space="preserve"> restricted cubic </w:t>
      </w:r>
      <w:commentRangeStart w:id="0"/>
      <w:r w:rsidR="003D132E">
        <w:rPr>
          <w:rFonts w:ascii="Times" w:hAnsi="Times"/>
        </w:rPr>
        <w:t>spline</w:t>
      </w:r>
      <w:commentRangeEnd w:id="0"/>
      <w:r w:rsidR="00930797">
        <w:rPr>
          <w:rFonts w:ascii="Times" w:hAnsi="Times"/>
        </w:rPr>
        <w:t>s</w:t>
      </w:r>
      <w:r w:rsidR="00463903">
        <w:rPr>
          <w:rStyle w:val="CommentReference"/>
          <w:rFonts w:asciiTheme="minorHAnsi" w:eastAsiaTheme="minorHAnsi" w:hAnsiTheme="minorHAnsi" w:cstheme="minorBidi"/>
        </w:rPr>
        <w:commentReference w:id="0"/>
      </w:r>
      <w:r w:rsidR="00857501">
        <w:rPr>
          <w:rFonts w:ascii="Times" w:hAnsi="Times"/>
        </w:rPr>
        <w:t xml:space="preserve">. </w:t>
      </w:r>
      <w:r w:rsidR="001F50B4">
        <w:rPr>
          <w:rFonts w:ascii="Times" w:hAnsi="Times"/>
        </w:rPr>
        <w:t xml:space="preserve">This method models the influence of </w:t>
      </w:r>
      <w:r w:rsidR="00B97035">
        <w:rPr>
          <w:rFonts w:ascii="Times" w:hAnsi="Times"/>
        </w:rPr>
        <w:t xml:space="preserve">PA size as a continuous variable but allows </w:t>
      </w:r>
      <w:r w:rsidR="0048395D">
        <w:rPr>
          <w:rFonts w:ascii="Times" w:hAnsi="Times"/>
        </w:rPr>
        <w:t>for the shape of the relationship</w:t>
      </w:r>
      <w:r w:rsidR="00930797">
        <w:rPr>
          <w:rFonts w:ascii="Times" w:hAnsi="Times"/>
        </w:rPr>
        <w:t xml:space="preserve"> to be non-linear. Knots were placed at the 5</w:t>
      </w:r>
      <w:r w:rsidR="00930797" w:rsidRPr="00930797">
        <w:rPr>
          <w:rFonts w:ascii="Times" w:hAnsi="Times"/>
          <w:vertAlign w:val="superscript"/>
        </w:rPr>
        <w:t>th</w:t>
      </w:r>
      <w:r w:rsidR="00930797">
        <w:rPr>
          <w:rFonts w:ascii="Times" w:hAnsi="Times"/>
        </w:rPr>
        <w:t>, 35</w:t>
      </w:r>
      <w:r w:rsidR="00930797" w:rsidRPr="00930797">
        <w:rPr>
          <w:rFonts w:ascii="Times" w:hAnsi="Times"/>
          <w:vertAlign w:val="superscript"/>
        </w:rPr>
        <w:t>th</w:t>
      </w:r>
      <w:r w:rsidR="00930797">
        <w:rPr>
          <w:rFonts w:ascii="Times" w:hAnsi="Times"/>
        </w:rPr>
        <w:t>, 65</w:t>
      </w:r>
      <w:r w:rsidR="00930797" w:rsidRPr="00930797">
        <w:rPr>
          <w:rFonts w:ascii="Times" w:hAnsi="Times"/>
          <w:vertAlign w:val="superscript"/>
        </w:rPr>
        <w:t>th</w:t>
      </w:r>
      <w:r w:rsidR="00930797">
        <w:rPr>
          <w:rFonts w:ascii="Times" w:hAnsi="Times"/>
        </w:rPr>
        <w:t>, and 95</w:t>
      </w:r>
      <w:r w:rsidR="00930797" w:rsidRPr="00930797">
        <w:rPr>
          <w:rFonts w:ascii="Times" w:hAnsi="Times"/>
          <w:vertAlign w:val="superscript"/>
        </w:rPr>
        <w:t>th</w:t>
      </w:r>
      <w:r w:rsidR="00930797">
        <w:rPr>
          <w:rFonts w:ascii="Times" w:hAnsi="Times"/>
        </w:rPr>
        <w:t xml:space="preserve"> percentile</w:t>
      </w:r>
      <w:r w:rsidR="008D7791">
        <w:rPr>
          <w:rFonts w:ascii="Times" w:hAnsi="Times"/>
        </w:rPr>
        <w:t>.</w:t>
      </w:r>
      <w:r w:rsidR="008D7791">
        <w:rPr>
          <w:rFonts w:ascii="Times" w:hAnsi="Times"/>
        </w:rPr>
        <w:fldChar w:fldCharType="begin"/>
      </w:r>
      <w:r w:rsidR="008D7791">
        <w:rPr>
          <w:rFonts w:ascii="Times" w:hAnsi="Times"/>
        </w:rPr>
        <w:instrText xml:space="preserve"> ADDIN ZOTERO_ITEM CSL_CITATION {"citationID":"1GcWfmnM","properties":{"formattedCitation":"\\super 6\\nosupersub{}","plainCitation":"6","noteIndex":0},"citationItems":[{"id":189,"uris":["http://zotero.org/users/10706980/items/ZR7NPTMT"],"itemData":{"id":189,"type":"book","publisher":"Springer","title":"Regression modeling strategies: with applications to linear models, logistic regression, and survival analysis","volume":"608","author":[{"family":"Harrell","given":"Frank E"}],"issued":{"date-parts":[["2001"]]},"citation-key":"harrellRegressionModelingStrategies2001"}}],"schema":"https://github.com/citation-style-language/schema/raw/master/csl-citation.json"} </w:instrText>
      </w:r>
      <w:r w:rsidR="008D7791">
        <w:rPr>
          <w:rFonts w:ascii="Times" w:hAnsi="Times"/>
        </w:rPr>
        <w:fldChar w:fldCharType="separate"/>
      </w:r>
      <w:r w:rsidR="008D7791" w:rsidRPr="008D7791">
        <w:rPr>
          <w:rFonts w:ascii="Times" w:hAnsi="Times" w:cs="Times"/>
          <w:vertAlign w:val="superscript"/>
        </w:rPr>
        <w:t>6</w:t>
      </w:r>
      <w:r w:rsidR="008D7791">
        <w:rPr>
          <w:rFonts w:ascii="Times" w:hAnsi="Times"/>
        </w:rPr>
        <w:fldChar w:fldCharType="end"/>
      </w:r>
      <w:r w:rsidR="00930797">
        <w:rPr>
          <w:rFonts w:ascii="Times" w:hAnsi="Times"/>
        </w:rPr>
        <w:t xml:space="preserve"> </w:t>
      </w:r>
      <w:r w:rsidR="00B33108">
        <w:t xml:space="preserve">Hazard Ratios (HR) are referenced to the healthy population median value (PA:AA 0.77; </w:t>
      </w:r>
      <w:proofErr w:type="spellStart"/>
      <w:r w:rsidR="00B33108">
        <w:t>PAd</w:t>
      </w:r>
      <w:proofErr w:type="spellEnd"/>
      <w:r w:rsidR="00B33108">
        <w:t xml:space="preserve"> 25.1mm)</w:t>
      </w:r>
      <w:r w:rsidR="00B33108">
        <w:fldChar w:fldCharType="begin"/>
      </w:r>
      <w:r w:rsidR="00B33108">
        <w:instrText xml:space="preserve"> ADDIN ZOTERO_ITEM CSL_CITATION {"citationID":"kxJ9u7en","properties":{"formattedCitation":"\\super 1\\nosupersub{}","plainCitation":"1","noteIndex":0},"citationItems":[{"id":154,"uris":["http://zotero.org/users/10706980/items/9BFGGDBR"],"itemData":{"id":154,"type":"article-journal","container-title":"Circulation: Cardiovascular Imaging","ISSN":"1941-9651","issue":"1","journalAbbreviation":"Circulation: Cardiovascular Imaging","note":"publisher: Am Heart Assoc","page":"147-154","title":"Reference values for normal pulmonary artery dimensions by noncontrast cardiac computed tomography: the Framingham Heart Study","volume":"5","author":[{"family":"Truong","given":"Quynh A"},{"family":"Massaro","given":"Joseph M"},{"family":"Rogers","given":"Ian S"},{"family":"Mahabadi","given":"Amir A"},{"family":"Kriegel","given":"Matthias F"},{"family":"Fox","given":"Caroline S"},{"family":"O'Donnell","given":"Christopher J"},{"family":"Hoffmann","given":"Udo"}],"issued":{"date-parts":[["2012"]]},"citation-key":"truongReferenceValuesNormal2012"}}],"schema":"https://github.com/citation-style-language/schema/raw/master/csl-citation.json"} </w:instrText>
      </w:r>
      <w:r w:rsidR="00B33108">
        <w:fldChar w:fldCharType="separate"/>
      </w:r>
      <w:r w:rsidR="00B33108" w:rsidRPr="000D791F">
        <w:rPr>
          <w:vertAlign w:val="superscript"/>
        </w:rPr>
        <w:t>1</w:t>
      </w:r>
      <w:r w:rsidR="00B33108">
        <w:fldChar w:fldCharType="end"/>
      </w:r>
      <w:r w:rsidR="00B33108">
        <w:t xml:space="preserve">. </w:t>
      </w:r>
      <w:r w:rsidR="00BE6D1A">
        <w:rPr>
          <w:rFonts w:ascii="Times" w:hAnsi="Times"/>
        </w:rPr>
        <w:t xml:space="preserve">A post-hoc analysis of </w:t>
      </w:r>
      <w:r w:rsidR="00F14DB8">
        <w:rPr>
          <w:rFonts w:ascii="Times" w:hAnsi="Times"/>
        </w:rPr>
        <w:t>the interaction between age and PA-</w:t>
      </w:r>
      <w:r w:rsidR="00F14DB8">
        <w:rPr>
          <w:rFonts w:ascii="Times" w:hAnsi="Times"/>
        </w:rPr>
        <w:lastRenderedPageBreak/>
        <w:t xml:space="preserve">size was performed </w:t>
      </w:r>
      <w:r w:rsidR="000738BF">
        <w:rPr>
          <w:rFonts w:ascii="Times" w:hAnsi="Times"/>
        </w:rPr>
        <w:t xml:space="preserve">by generating </w:t>
      </w:r>
      <w:r w:rsidR="00E42A09">
        <w:rPr>
          <w:rFonts w:ascii="Times" w:hAnsi="Times"/>
        </w:rPr>
        <w:t xml:space="preserve">separate </w:t>
      </w:r>
      <w:r w:rsidR="000738BF">
        <w:rPr>
          <w:rFonts w:ascii="Times" w:hAnsi="Times"/>
        </w:rPr>
        <w:t>3-knot restricted cubic splines</w:t>
      </w:r>
      <w:r w:rsidR="008D7791">
        <w:rPr>
          <w:rFonts w:ascii="Times" w:hAnsi="Times"/>
        </w:rPr>
        <w:t xml:space="preserve"> (10</w:t>
      </w:r>
      <w:r w:rsidR="008D7791" w:rsidRPr="008D7791">
        <w:rPr>
          <w:rFonts w:ascii="Times" w:hAnsi="Times"/>
          <w:vertAlign w:val="superscript"/>
        </w:rPr>
        <w:t>th</w:t>
      </w:r>
      <w:r w:rsidR="008D7791">
        <w:rPr>
          <w:rFonts w:ascii="Times" w:hAnsi="Times"/>
        </w:rPr>
        <w:t>, 50</w:t>
      </w:r>
      <w:r w:rsidR="008D7791" w:rsidRPr="008D7791">
        <w:rPr>
          <w:rFonts w:ascii="Times" w:hAnsi="Times"/>
          <w:vertAlign w:val="superscript"/>
        </w:rPr>
        <w:t>th</w:t>
      </w:r>
      <w:r w:rsidR="008D7791">
        <w:rPr>
          <w:rFonts w:ascii="Times" w:hAnsi="Times"/>
        </w:rPr>
        <w:t>, 10</w:t>
      </w:r>
      <w:r w:rsidR="008D7791" w:rsidRPr="008D7791">
        <w:rPr>
          <w:rFonts w:ascii="Times" w:hAnsi="Times"/>
          <w:vertAlign w:val="superscript"/>
        </w:rPr>
        <w:t>th</w:t>
      </w:r>
      <w:r w:rsidR="008D7791">
        <w:rPr>
          <w:rFonts w:ascii="Times" w:hAnsi="Times"/>
        </w:rPr>
        <w:t xml:space="preserve"> percentiles)</w:t>
      </w:r>
      <w:r w:rsidR="000738BF">
        <w:rPr>
          <w:rFonts w:ascii="Times" w:hAnsi="Times"/>
        </w:rPr>
        <w:t xml:space="preserve"> for young (&lt;50y), middle (50-65y), and older (65+) </w:t>
      </w:r>
      <w:r w:rsidR="00E42A09">
        <w:rPr>
          <w:rFonts w:ascii="Times" w:hAnsi="Times"/>
        </w:rPr>
        <w:t xml:space="preserve">patients. </w:t>
      </w:r>
      <w:r w:rsidR="00B33108">
        <w:rPr>
          <w:rFonts w:ascii="Times" w:hAnsi="Times"/>
        </w:rPr>
        <w:t xml:space="preserve">Lastly, a model using 4 knot restricted cubic spline of the difference of the </w:t>
      </w:r>
      <w:proofErr w:type="spellStart"/>
      <w:r w:rsidR="00B33108">
        <w:rPr>
          <w:rFonts w:ascii="Times" w:hAnsi="Times"/>
        </w:rPr>
        <w:t>PAd</w:t>
      </w:r>
      <w:proofErr w:type="spellEnd"/>
      <w:r w:rsidR="00B33108">
        <w:rPr>
          <w:rFonts w:ascii="Times" w:hAnsi="Times"/>
        </w:rPr>
        <w:t xml:space="preserve"> and </w:t>
      </w:r>
      <w:proofErr w:type="gramStart"/>
      <w:r w:rsidR="00B33108">
        <w:rPr>
          <w:rFonts w:ascii="Times" w:hAnsi="Times"/>
        </w:rPr>
        <w:t>PA:AA</w:t>
      </w:r>
      <w:proofErr w:type="gramEnd"/>
      <w:r w:rsidR="00B33108">
        <w:rPr>
          <w:rFonts w:ascii="Times" w:hAnsi="Times"/>
        </w:rPr>
        <w:t xml:space="preserve"> from the age-adjusted median was compared to the same modeling using absolute </w:t>
      </w:r>
      <w:proofErr w:type="spellStart"/>
      <w:r w:rsidR="00B33108">
        <w:rPr>
          <w:rFonts w:ascii="Times" w:hAnsi="Times"/>
        </w:rPr>
        <w:t>PAd</w:t>
      </w:r>
      <w:proofErr w:type="spellEnd"/>
      <w:r w:rsidR="00B33108">
        <w:rPr>
          <w:rFonts w:ascii="Times" w:hAnsi="Times"/>
        </w:rPr>
        <w:t xml:space="preserve"> and PA:AA to evaluate the predictive value of age-normalization. </w:t>
      </w:r>
    </w:p>
    <w:p w14:paraId="712E0393" w14:textId="3B7076D1" w:rsidR="003A372F" w:rsidRPr="00D13894" w:rsidRDefault="00A90B66" w:rsidP="00D13894">
      <w:pPr>
        <w:spacing w:line="480" w:lineRule="auto"/>
        <w:ind w:firstLine="720"/>
        <w:rPr>
          <w:rFonts w:ascii="Times" w:hAnsi="Times"/>
        </w:rPr>
      </w:pPr>
      <w:r>
        <w:rPr>
          <w:rFonts w:ascii="Times" w:hAnsi="Times"/>
        </w:rPr>
        <w:t>No imputation for missing data was performed.</w:t>
      </w:r>
      <w:r w:rsidR="00E42A09">
        <w:rPr>
          <w:rFonts w:ascii="Times" w:hAnsi="Times"/>
        </w:rPr>
        <w:t xml:space="preserve"> </w:t>
      </w:r>
      <w:r w:rsidR="0079268D">
        <w:rPr>
          <w:rFonts w:ascii="Times" w:hAnsi="Times"/>
        </w:rPr>
        <w:t xml:space="preserve">Statistical analyses were performed using </w:t>
      </w:r>
      <w:r w:rsidR="0070786A" w:rsidRPr="004E142F">
        <w:rPr>
          <w:rFonts w:ascii="Times" w:hAnsi="Times"/>
        </w:rPr>
        <w:t>Stata version 1</w:t>
      </w:r>
      <w:r w:rsidR="003F5722">
        <w:rPr>
          <w:rFonts w:ascii="Times" w:hAnsi="Times"/>
        </w:rPr>
        <w:t>8</w:t>
      </w:r>
      <w:r w:rsidR="0070786A" w:rsidRPr="004E142F">
        <w:rPr>
          <w:rFonts w:ascii="Times" w:hAnsi="Times"/>
        </w:rPr>
        <w:t xml:space="preserve"> </w:t>
      </w:r>
      <w:r w:rsidR="0079268D">
        <w:rPr>
          <w:rFonts w:ascii="Times" w:hAnsi="Times"/>
        </w:rPr>
        <w:t>(</w:t>
      </w:r>
      <w:proofErr w:type="spellStart"/>
      <w:r w:rsidR="0079268D">
        <w:rPr>
          <w:rFonts w:ascii="Times" w:hAnsi="Times"/>
        </w:rPr>
        <w:t>StataCorp</w:t>
      </w:r>
      <w:proofErr w:type="spellEnd"/>
      <w:r w:rsidR="0079268D">
        <w:rPr>
          <w:rFonts w:ascii="Times" w:hAnsi="Times"/>
        </w:rPr>
        <w:t>, College Station</w:t>
      </w:r>
      <w:r w:rsidR="009D3B58">
        <w:rPr>
          <w:rFonts w:ascii="Times" w:hAnsi="Times"/>
        </w:rPr>
        <w:t>,</w:t>
      </w:r>
      <w:r w:rsidR="0079268D">
        <w:rPr>
          <w:rFonts w:ascii="Times" w:hAnsi="Times"/>
        </w:rPr>
        <w:t xml:space="preserve"> TX)</w:t>
      </w:r>
      <w:r w:rsidR="00FE4B42" w:rsidRPr="004E142F">
        <w:rPr>
          <w:rFonts w:ascii="Times" w:hAnsi="Times"/>
        </w:rPr>
        <w:t>.</w:t>
      </w:r>
      <w:r w:rsidR="003F5722">
        <w:rPr>
          <w:rFonts w:ascii="Times" w:hAnsi="Times"/>
        </w:rPr>
        <w:t xml:space="preserve"> </w:t>
      </w:r>
      <w:r w:rsidR="00E450EB" w:rsidRPr="004E142F">
        <w:rPr>
          <w:rFonts w:ascii="Times" w:hAnsi="Times" w:cs="Calibri"/>
        </w:rPr>
        <w:t>The study was</w:t>
      </w:r>
      <w:r w:rsidR="00E450EB">
        <w:rPr>
          <w:rFonts w:ascii="Times" w:hAnsi="Times" w:cs="Calibri"/>
        </w:rPr>
        <w:t xml:space="preserve"> approved under a waiver of informed consent by the Intermountain Medical Center Review Board </w:t>
      </w:r>
      <w:r w:rsidR="00E450EB" w:rsidRPr="004E142F">
        <w:rPr>
          <w:rFonts w:ascii="Times" w:hAnsi="Times" w:cs="Calibri"/>
        </w:rPr>
        <w:t>(IRB #</w:t>
      </w:r>
      <w:r w:rsidR="00E450EB" w:rsidRPr="004E142F">
        <w:rPr>
          <w:rFonts w:ascii="Times" w:eastAsia="Calibri" w:hAnsi="Times" w:cs="AppleSystemUIFontBold"/>
        </w:rPr>
        <w:softHyphen/>
      </w:r>
      <w:r w:rsidR="00E450EB" w:rsidRPr="004E142F">
        <w:rPr>
          <w:rFonts w:ascii="Times" w:hAnsi="Times" w:cs="Helvetica"/>
          <w:color w:val="000000"/>
        </w:rPr>
        <w:t xml:space="preserve"> </w:t>
      </w:r>
      <w:r w:rsidR="00E450EB" w:rsidRPr="004E142F">
        <w:rPr>
          <w:rFonts w:ascii="Times" w:eastAsia="Calibri" w:hAnsi="Times" w:cs="AppleSystemUIFontBold"/>
        </w:rPr>
        <w:t>)</w:t>
      </w:r>
      <w:r w:rsidR="00E450EB" w:rsidRPr="004E142F">
        <w:rPr>
          <w:rFonts w:ascii="Times" w:hAnsi="Times" w:cs="Calibri"/>
        </w:rPr>
        <w:t>.</w:t>
      </w:r>
      <w:r w:rsidR="003A372F">
        <w:br w:type="page"/>
      </w:r>
    </w:p>
    <w:p w14:paraId="73A13FC4" w14:textId="3E8E3903" w:rsidR="00556476" w:rsidRDefault="00D92A27" w:rsidP="006014D8">
      <w:pPr>
        <w:pStyle w:val="Heading1"/>
      </w:pPr>
      <w:r w:rsidRPr="004E142F">
        <w:lastRenderedPageBreak/>
        <w:t>Results:</w:t>
      </w:r>
    </w:p>
    <w:p w14:paraId="18E319F0" w14:textId="5F1003E9" w:rsidR="00556476" w:rsidRPr="00D13894" w:rsidRDefault="006F2A65" w:rsidP="00D13894">
      <w:pPr>
        <w:spacing w:before="240" w:line="480" w:lineRule="auto"/>
        <w:ind w:firstLine="720"/>
      </w:pPr>
      <w:r>
        <w:rPr>
          <w:rFonts w:ascii="Times" w:hAnsi="Times"/>
        </w:rPr>
        <w:t>After exclusions (n=10 repeat scans, n=</w:t>
      </w:r>
      <w:r w:rsidR="003F5722">
        <w:rPr>
          <w:rFonts w:ascii="Times" w:hAnsi="Times"/>
        </w:rPr>
        <w:t>82</w:t>
      </w:r>
      <w:r>
        <w:rPr>
          <w:rFonts w:ascii="Times" w:hAnsi="Times"/>
        </w:rPr>
        <w:t xml:space="preserve"> with no follow-up, </w:t>
      </w:r>
      <w:r w:rsidR="003F5722">
        <w:rPr>
          <w:rFonts w:ascii="Times" w:hAnsi="Times"/>
        </w:rPr>
        <w:t xml:space="preserve">n=23 completely absent comorbidity data), 889 patients were included in the analytic sample. </w:t>
      </w:r>
      <w:r w:rsidR="003B0EA0">
        <w:rPr>
          <w:rFonts w:ascii="Times" w:hAnsi="Times"/>
        </w:rPr>
        <w:t xml:space="preserve">The median age was 52 </w:t>
      </w:r>
      <w:r w:rsidR="00391487">
        <w:rPr>
          <w:rFonts w:ascii="Times" w:hAnsi="Times"/>
        </w:rPr>
        <w:t>[interquartile range (IQR) 37</w:t>
      </w:r>
      <w:r w:rsidR="00374718">
        <w:rPr>
          <w:rFonts w:ascii="Times" w:hAnsi="Times"/>
        </w:rPr>
        <w:t>,</w:t>
      </w:r>
      <w:r w:rsidR="00713514">
        <w:rPr>
          <w:rFonts w:ascii="Times" w:hAnsi="Times"/>
        </w:rPr>
        <w:t xml:space="preserve"> </w:t>
      </w:r>
      <w:r w:rsidR="00391487">
        <w:rPr>
          <w:rFonts w:ascii="Times" w:hAnsi="Times"/>
        </w:rPr>
        <w:t xml:space="preserve">68] years, </w:t>
      </w:r>
      <w:r w:rsidR="001D02C4">
        <w:rPr>
          <w:rFonts w:ascii="Times" w:hAnsi="Times"/>
        </w:rPr>
        <w:t>63.9% (n=568) were women</w:t>
      </w:r>
      <w:r w:rsidR="00492654">
        <w:rPr>
          <w:rFonts w:ascii="Times" w:hAnsi="Times"/>
        </w:rPr>
        <w:t xml:space="preserve">, and the median BMI was 29.3 [IQR </w:t>
      </w:r>
      <w:r w:rsidR="000D5D2D">
        <w:rPr>
          <w:rFonts w:ascii="Times" w:hAnsi="Times"/>
        </w:rPr>
        <w:t>24.9</w:t>
      </w:r>
      <w:r w:rsidR="00713514">
        <w:rPr>
          <w:rFonts w:ascii="Times" w:hAnsi="Times"/>
        </w:rPr>
        <w:t>,</w:t>
      </w:r>
      <w:r w:rsidR="000D5D2D">
        <w:rPr>
          <w:rFonts w:ascii="Times" w:hAnsi="Times"/>
        </w:rPr>
        <w:t xml:space="preserve">36.2]. </w:t>
      </w:r>
      <w:r w:rsidR="00391487">
        <w:rPr>
          <w:rFonts w:ascii="Times" w:hAnsi="Times"/>
        </w:rPr>
        <w:t xml:space="preserve"> </w:t>
      </w:r>
      <w:r w:rsidR="00110668">
        <w:rPr>
          <w:rFonts w:ascii="Times" w:hAnsi="Times"/>
        </w:rPr>
        <w:t>The median PA</w:t>
      </w:r>
      <w:r w:rsidR="00E3252D">
        <w:rPr>
          <w:rFonts w:ascii="Times" w:hAnsi="Times"/>
        </w:rPr>
        <w:t xml:space="preserve">d was 25.3 [IQR 22.5, 28.3] and median </w:t>
      </w:r>
      <w:proofErr w:type="gramStart"/>
      <w:r w:rsidR="00E3252D">
        <w:rPr>
          <w:rFonts w:ascii="Times" w:hAnsi="Times"/>
        </w:rPr>
        <w:t>PA:AA</w:t>
      </w:r>
      <w:proofErr w:type="gramEnd"/>
      <w:r w:rsidR="00E3252D">
        <w:rPr>
          <w:rFonts w:ascii="Times" w:hAnsi="Times"/>
        </w:rPr>
        <w:t xml:space="preserve"> was 0.85 [IQR 0.76, 0.93]. </w:t>
      </w:r>
      <w:r w:rsidR="007E2B24">
        <w:rPr>
          <w:rFonts w:ascii="Times" w:hAnsi="Times"/>
        </w:rPr>
        <w:t xml:space="preserve">During a median follow-up of 10.7 years, </w:t>
      </w:r>
      <w:r w:rsidR="00094D82">
        <w:rPr>
          <w:rFonts w:ascii="Times" w:hAnsi="Times"/>
        </w:rPr>
        <w:t>n=263 (29.6%) patients died</w:t>
      </w:r>
      <w:r w:rsidR="00CF26E2">
        <w:rPr>
          <w:rFonts w:ascii="Times" w:hAnsi="Times"/>
        </w:rPr>
        <w:t xml:space="preserve"> (median </w:t>
      </w:r>
      <w:r w:rsidR="00CF26E2" w:rsidRPr="00D13894">
        <w:t>3.5 years)</w:t>
      </w:r>
      <w:r w:rsidR="00094D82" w:rsidRPr="00D13894">
        <w:t xml:space="preserve">. </w:t>
      </w:r>
    </w:p>
    <w:p w14:paraId="74C091F9" w14:textId="77777777" w:rsidR="00013DAE" w:rsidRPr="00D13894" w:rsidRDefault="00013DAE" w:rsidP="00D13894">
      <w:pPr>
        <w:spacing w:line="480" w:lineRule="auto"/>
        <w:rPr>
          <w:u w:val="single"/>
        </w:rPr>
      </w:pPr>
    </w:p>
    <w:p w14:paraId="239001A9" w14:textId="0E0554BA" w:rsidR="009C391C" w:rsidRPr="00D13894" w:rsidRDefault="00547859" w:rsidP="00D13894">
      <w:pPr>
        <w:spacing w:line="480" w:lineRule="auto"/>
        <w:rPr>
          <w:u w:val="single"/>
        </w:rPr>
      </w:pPr>
      <w:r>
        <w:rPr>
          <w:u w:val="single"/>
        </w:rPr>
        <w:t>Association of age</w:t>
      </w:r>
      <w:r w:rsidR="009C391C" w:rsidRPr="00D13894">
        <w:rPr>
          <w:u w:val="single"/>
        </w:rPr>
        <w:t xml:space="preserve"> with enlarged </w:t>
      </w:r>
      <w:proofErr w:type="spellStart"/>
      <w:r w:rsidR="009C391C" w:rsidRPr="00D13894">
        <w:rPr>
          <w:u w:val="single"/>
        </w:rPr>
        <w:t>PAd</w:t>
      </w:r>
      <w:proofErr w:type="spellEnd"/>
      <w:r w:rsidR="009C391C" w:rsidRPr="00D13894">
        <w:rPr>
          <w:u w:val="single"/>
        </w:rPr>
        <w:t xml:space="preserve"> and </w:t>
      </w:r>
      <w:proofErr w:type="gramStart"/>
      <w:r w:rsidR="009C391C" w:rsidRPr="00D13894">
        <w:rPr>
          <w:u w:val="single"/>
        </w:rPr>
        <w:t>PA:AA</w:t>
      </w:r>
      <w:proofErr w:type="gramEnd"/>
    </w:p>
    <w:p w14:paraId="202F318B" w14:textId="14FDAAC6" w:rsidR="00547859" w:rsidRDefault="004957FE" w:rsidP="00547859">
      <w:pPr>
        <w:spacing w:before="240" w:line="480" w:lineRule="auto"/>
        <w:ind w:firstLine="720"/>
      </w:pPr>
      <w:r>
        <w:rPr>
          <w:rFonts w:ascii="Times" w:hAnsi="Times"/>
        </w:rPr>
        <w:t xml:space="preserve">Older patients were more likely to have </w:t>
      </w:r>
      <w:r w:rsidR="004D5B81">
        <w:rPr>
          <w:rFonts w:ascii="Times" w:hAnsi="Times"/>
        </w:rPr>
        <w:t xml:space="preserve">an enlarged </w:t>
      </w:r>
      <w:proofErr w:type="spellStart"/>
      <w:r w:rsidR="004D5B81">
        <w:rPr>
          <w:rFonts w:ascii="Times" w:hAnsi="Times"/>
        </w:rPr>
        <w:t>PAd</w:t>
      </w:r>
      <w:proofErr w:type="spellEnd"/>
      <w:r w:rsidR="004D5B81">
        <w:rPr>
          <w:rFonts w:ascii="Times" w:hAnsi="Times"/>
        </w:rPr>
        <w:t xml:space="preserve">, while younger patients were more likely to have an elevated </w:t>
      </w:r>
      <w:proofErr w:type="gramStart"/>
      <w:r w:rsidR="004D5B81">
        <w:rPr>
          <w:rFonts w:ascii="Times" w:hAnsi="Times"/>
        </w:rPr>
        <w:t>PA:AA</w:t>
      </w:r>
      <w:proofErr w:type="gramEnd"/>
      <w:r w:rsidR="008D7791">
        <w:rPr>
          <w:rFonts w:ascii="Times" w:hAnsi="Times"/>
        </w:rPr>
        <w:t xml:space="preserve"> (table 1</w:t>
      </w:r>
      <w:r w:rsidR="00547859">
        <w:rPr>
          <w:rFonts w:ascii="Times" w:hAnsi="Times"/>
        </w:rPr>
        <w:t xml:space="preserve">, figure </w:t>
      </w:r>
      <w:r w:rsidR="006A326F">
        <w:rPr>
          <w:rFonts w:ascii="Times" w:hAnsi="Times"/>
        </w:rPr>
        <w:t>2</w:t>
      </w:r>
      <w:r w:rsidR="00547859">
        <w:rPr>
          <w:rFonts w:ascii="Times" w:hAnsi="Times"/>
        </w:rPr>
        <w:t xml:space="preserve">). </w:t>
      </w:r>
      <w:r w:rsidR="00547859" w:rsidRPr="00547859">
        <w:t xml:space="preserve">In regressions </w:t>
      </w:r>
      <w:r w:rsidR="00547859">
        <w:t>account</w:t>
      </w:r>
      <w:r w:rsidR="00D13E20">
        <w:t>ing</w:t>
      </w:r>
      <w:r w:rsidR="00547859">
        <w:t xml:space="preserve"> for age and gender, but </w:t>
      </w:r>
      <w:r w:rsidR="00547859" w:rsidRPr="00547859">
        <w:t>not</w:t>
      </w:r>
      <w:r w:rsidR="00D13E20">
        <w:t xml:space="preserve"> </w:t>
      </w:r>
      <w:r w:rsidR="00547859" w:rsidRPr="00547859">
        <w:t>comorbidities</w:t>
      </w:r>
      <w:r w:rsidR="00D13E20">
        <w:t>,</w:t>
      </w:r>
      <w:r w:rsidR="00547859" w:rsidRPr="00547859">
        <w:t xml:space="preserve"> the</w:t>
      </w:r>
      <w:r w:rsidR="00547859">
        <w:t xml:space="preserve"> </w:t>
      </w:r>
      <w:proofErr w:type="spellStart"/>
      <w:r w:rsidR="00547859">
        <w:t>PAd</w:t>
      </w:r>
      <w:proofErr w:type="spellEnd"/>
      <w:r w:rsidR="00D13E20">
        <w:t xml:space="preserve"> </w:t>
      </w:r>
      <w:r w:rsidR="00547859">
        <w:t>increased with age</w:t>
      </w:r>
      <w:r w:rsidR="00D13E20">
        <w:t xml:space="preserve"> for the mean (</w:t>
      </w:r>
      <w:r w:rsidR="006A326F">
        <w:t>0.56</w:t>
      </w:r>
      <w:r w:rsidR="00C705E0">
        <w:t xml:space="preserve"> mm</w:t>
      </w:r>
      <w:r w:rsidR="00D13E20">
        <w:t xml:space="preserve"> per decade</w:t>
      </w:r>
      <w:r w:rsidR="006A326F">
        <w:t>, 95CI 0.42-0.70</w:t>
      </w:r>
      <w:r w:rsidR="00D13E20">
        <w:t>), median (</w:t>
      </w:r>
      <w:r w:rsidR="00C705E0">
        <w:t>0.68</w:t>
      </w:r>
      <w:r w:rsidR="00D13E20">
        <w:t xml:space="preserve"> </w:t>
      </w:r>
      <w:r w:rsidR="00C705E0">
        <w:t xml:space="preserve">mm </w:t>
      </w:r>
      <w:r w:rsidR="00D13E20">
        <w:t>per decade</w:t>
      </w:r>
      <w:r w:rsidR="00C705E0">
        <w:t>, 95CI 0.45-0.90</w:t>
      </w:r>
      <w:r w:rsidR="00D13E20">
        <w:t>), and 90</w:t>
      </w:r>
      <w:r w:rsidR="00D13E20" w:rsidRPr="00D13E20">
        <w:rPr>
          <w:vertAlign w:val="superscript"/>
        </w:rPr>
        <w:t>th</w:t>
      </w:r>
      <w:r w:rsidR="00D13E20">
        <w:t xml:space="preserve"> percentile size (</w:t>
      </w:r>
      <w:r w:rsidR="00C705E0">
        <w:t xml:space="preserve">1.0 </w:t>
      </w:r>
      <w:proofErr w:type="gramStart"/>
      <w:r w:rsidR="00C705E0">
        <w:t xml:space="preserve">mm  </w:t>
      </w:r>
      <w:r w:rsidR="00D13E20">
        <w:t>per</w:t>
      </w:r>
      <w:proofErr w:type="gramEnd"/>
      <w:r w:rsidR="00D13E20">
        <w:t xml:space="preserve"> decade</w:t>
      </w:r>
      <w:r w:rsidR="00C705E0">
        <w:t>, 95CI 0.58-1.4</w:t>
      </w:r>
      <w:r w:rsidR="00D13E20">
        <w:t xml:space="preserve">). Conversely, the </w:t>
      </w:r>
      <w:proofErr w:type="gramStart"/>
      <w:r w:rsidR="00D13E20">
        <w:t>PA:AA</w:t>
      </w:r>
      <w:proofErr w:type="gramEnd"/>
      <w:r w:rsidR="00D13E20">
        <w:t xml:space="preserve"> decreased by </w:t>
      </w:r>
      <w:r w:rsidR="00547859">
        <w:t xml:space="preserve">. </w:t>
      </w:r>
      <w:r w:rsidR="00547859">
        <w:t xml:space="preserve"> the mean diameter increased by ___ per year, the median diameter increased by ____ per year, and the 90</w:t>
      </w:r>
      <w:r w:rsidR="00547859" w:rsidRPr="00547859">
        <w:rPr>
          <w:vertAlign w:val="superscript"/>
        </w:rPr>
        <w:t>th</w:t>
      </w:r>
      <w:r w:rsidR="00547859">
        <w:t xml:space="preserve"> percentile diameter increased by ____.</w:t>
      </w:r>
      <w:r w:rsidR="006A326F">
        <w:t xml:space="preserve"> The ascending aorta generally increased in size faster than the PA with age (Figure 3), so the mean </w:t>
      </w:r>
      <w:proofErr w:type="gramStart"/>
      <w:r w:rsidR="006A326F">
        <w:t>PA:AA</w:t>
      </w:r>
      <w:proofErr w:type="gramEnd"/>
      <w:r w:rsidR="006A326F">
        <w:t xml:space="preserve"> decreased by 0.019 per decade (95CI -0.015, -0.023), median ratio decreased by 0.021 per decade (95CI -0.015, -0.027), and 90</w:t>
      </w:r>
      <w:r w:rsidR="006A326F" w:rsidRPr="006A326F">
        <w:rPr>
          <w:vertAlign w:val="superscript"/>
        </w:rPr>
        <w:t>th</w:t>
      </w:r>
      <w:r w:rsidR="006A326F">
        <w:t xml:space="preserve"> percentile ratio decreased by 0.011 per decade (95CI -0.0051, -0.017)</w:t>
      </w:r>
    </w:p>
    <w:p w14:paraId="55506CD8" w14:textId="5CAA04D1" w:rsidR="00D13894" w:rsidRDefault="00C5657B" w:rsidP="00D13894">
      <w:pPr>
        <w:spacing w:before="240" w:line="480" w:lineRule="auto"/>
        <w:ind w:firstLine="720"/>
      </w:pPr>
      <w:r>
        <w:rPr>
          <w:rFonts w:ascii="Times" w:hAnsi="Times"/>
        </w:rPr>
        <w:t>After adjusting for gender, BMI, and comorbidities</w:t>
      </w:r>
      <w:r w:rsidR="00F90353">
        <w:rPr>
          <w:rFonts w:ascii="Times" w:hAnsi="Times"/>
        </w:rPr>
        <w:t xml:space="preserve">, patients below age 50 had no different likelihood of </w:t>
      </w:r>
      <w:r w:rsidR="008110DC">
        <w:rPr>
          <w:rFonts w:ascii="Times" w:hAnsi="Times"/>
        </w:rPr>
        <w:t>enlarged PAd (</w:t>
      </w:r>
      <w:r w:rsidR="0062395C">
        <w:rPr>
          <w:rFonts w:ascii="Times" w:hAnsi="Times"/>
        </w:rPr>
        <w:t>Relative Risk [</w:t>
      </w:r>
      <w:r w:rsidR="008110DC">
        <w:rPr>
          <w:rFonts w:ascii="Times" w:hAnsi="Times"/>
        </w:rPr>
        <w:t>RR</w:t>
      </w:r>
      <w:r w:rsidR="0062395C">
        <w:rPr>
          <w:rFonts w:ascii="Times" w:hAnsi="Times"/>
        </w:rPr>
        <w:t>]</w:t>
      </w:r>
      <w:r w:rsidR="00896450">
        <w:rPr>
          <w:rFonts w:ascii="Times" w:hAnsi="Times"/>
        </w:rPr>
        <w:t xml:space="preserve"> 0.82, 95CI 0.61-1.10</w:t>
      </w:r>
      <w:r w:rsidR="0062395C">
        <w:rPr>
          <w:rFonts w:ascii="Times" w:hAnsi="Times"/>
        </w:rPr>
        <w:t xml:space="preserve">) but a markedly increased risk of enlarged </w:t>
      </w:r>
      <w:proofErr w:type="gramStart"/>
      <w:r w:rsidR="0062395C">
        <w:rPr>
          <w:rFonts w:ascii="Times" w:hAnsi="Times"/>
        </w:rPr>
        <w:t>PA:AA</w:t>
      </w:r>
      <w:proofErr w:type="gramEnd"/>
      <w:r w:rsidR="0062395C">
        <w:rPr>
          <w:rFonts w:ascii="Times" w:hAnsi="Times"/>
        </w:rPr>
        <w:t xml:space="preserve"> </w:t>
      </w:r>
      <w:r w:rsidR="009C2307">
        <w:rPr>
          <w:rFonts w:ascii="Times" w:hAnsi="Times"/>
        </w:rPr>
        <w:t>(</w:t>
      </w:r>
      <w:r w:rsidR="008A6B51">
        <w:rPr>
          <w:rFonts w:ascii="Times" w:hAnsi="Times"/>
        </w:rPr>
        <w:t>1.78, 1.36-2.31)</w:t>
      </w:r>
      <w:r>
        <w:rPr>
          <w:rFonts w:ascii="Times" w:hAnsi="Times"/>
        </w:rPr>
        <w:t xml:space="preserve"> compared to patients age 50-65y</w:t>
      </w:r>
      <w:r w:rsidR="007E7A58">
        <w:rPr>
          <w:rFonts w:ascii="Times" w:hAnsi="Times"/>
        </w:rPr>
        <w:t xml:space="preserve">. </w:t>
      </w:r>
      <w:r w:rsidR="008A6B51">
        <w:rPr>
          <w:rFonts w:ascii="Times" w:hAnsi="Times"/>
        </w:rPr>
        <w:lastRenderedPageBreak/>
        <w:t>Conversely, patients older than 65 had an increased</w:t>
      </w:r>
      <w:r w:rsidR="00764EA1">
        <w:rPr>
          <w:rFonts w:ascii="Times" w:hAnsi="Times"/>
        </w:rPr>
        <w:t xml:space="preserve"> adjusted</w:t>
      </w:r>
      <w:r w:rsidR="008A6B51">
        <w:rPr>
          <w:rFonts w:ascii="Times" w:hAnsi="Times"/>
        </w:rPr>
        <w:t xml:space="preserve"> risk of</w:t>
      </w:r>
      <w:r w:rsidR="008A6B51" w:rsidRPr="00D13894">
        <w:t xml:space="preserve"> enlarged PAd (</w:t>
      </w:r>
      <w:r w:rsidR="009C2307" w:rsidRPr="00D13894">
        <w:t xml:space="preserve">1.58, 1.21-2.05) but no increased risk of enlarged </w:t>
      </w:r>
      <w:proofErr w:type="gramStart"/>
      <w:r w:rsidR="009C2307" w:rsidRPr="00D13894">
        <w:t>PA:AA</w:t>
      </w:r>
      <w:proofErr w:type="gramEnd"/>
      <w:r w:rsidR="00AB4E5A" w:rsidRPr="00D13894">
        <w:t xml:space="preserve"> (0.97, 0.70-1.34)</w:t>
      </w:r>
      <w:r w:rsidR="00764EA1" w:rsidRPr="00D13894">
        <w:t xml:space="preserve">. </w:t>
      </w:r>
      <w:r w:rsidR="00C705E0">
        <w:t xml:space="preserve">The independent association with the prevalence of enlarged PA by </w:t>
      </w:r>
      <w:proofErr w:type="spellStart"/>
      <w:r w:rsidR="00C705E0">
        <w:t>decadd</w:t>
      </w:r>
      <w:proofErr w:type="spellEnd"/>
      <w:r w:rsidR="00C705E0">
        <w:t xml:space="preserve"> of age is graphically </w:t>
      </w:r>
      <w:proofErr w:type="gramStart"/>
      <w:r w:rsidR="00C705E0">
        <w:t>shown</w:t>
      </w:r>
      <w:proofErr w:type="gramEnd"/>
      <w:r w:rsidR="00C705E0">
        <w:t xml:space="preserve"> </w:t>
      </w:r>
    </w:p>
    <w:p w14:paraId="059FA4E9" w14:textId="07514F00" w:rsidR="009017A7" w:rsidRPr="00D13894" w:rsidRDefault="00C61AEE" w:rsidP="00D13894">
      <w:pPr>
        <w:spacing w:before="240" w:line="480" w:lineRule="auto"/>
      </w:pPr>
      <w:r w:rsidRPr="00D13894">
        <w:rPr>
          <w:u w:val="single"/>
        </w:rPr>
        <w:t>Association of PA enlargement with risk of death</w:t>
      </w:r>
    </w:p>
    <w:p w14:paraId="39BDEA40" w14:textId="79BEDAB6" w:rsidR="0015210B" w:rsidRDefault="0086621A" w:rsidP="00D13894">
      <w:pPr>
        <w:spacing w:line="480" w:lineRule="auto"/>
      </w:pPr>
      <w:r w:rsidRPr="00D13894">
        <w:tab/>
        <w:t xml:space="preserve">Cox-regression using </w:t>
      </w:r>
      <w:r w:rsidR="001F50B4" w:rsidRPr="00D13894">
        <w:t xml:space="preserve">restricted cubic splines </w:t>
      </w:r>
      <w:r w:rsidR="0048395D" w:rsidRPr="00D13894">
        <w:t xml:space="preserve">showed the estimate shape of the </w:t>
      </w:r>
      <w:r w:rsidR="00743F34" w:rsidRPr="00D13894">
        <w:t>relatio</w:t>
      </w:r>
      <w:r w:rsidR="00743F34">
        <w:t>nship between PA size and hazard of death (Figure 1)</w:t>
      </w:r>
      <w:r w:rsidR="00D47B19">
        <w:t>. For gender-normalized PA diameter, a step up in risk occurs around the</w:t>
      </w:r>
      <w:r w:rsidR="00DA2107">
        <w:t xml:space="preserve"> traditional</w:t>
      </w:r>
      <w:r w:rsidR="00D47B19">
        <w:t xml:space="preserve"> threshold (28mm, equivalent to 27mm in women and 29mm in men)</w:t>
      </w:r>
      <w:r w:rsidR="00DA2107">
        <w:t xml:space="preserve"> with little excess risk beyond. Conversely, increases in </w:t>
      </w:r>
      <w:proofErr w:type="gramStart"/>
      <w:r w:rsidR="00DA2107">
        <w:t>PA:AA</w:t>
      </w:r>
      <w:proofErr w:type="gramEnd"/>
      <w:r w:rsidR="00DA2107">
        <w:t xml:space="preserve"> are associated with roughly log-linear increases in hazard of death with increasing abnormality. </w:t>
      </w:r>
    </w:p>
    <w:p w14:paraId="4826F072" w14:textId="07186AD9" w:rsidR="00556476" w:rsidRDefault="00DA2107" w:rsidP="00D92D60">
      <w:pPr>
        <w:pStyle w:val="Heading1"/>
        <w:rPr>
          <w:b w:val="0"/>
          <w:bCs/>
          <w:u w:val="single"/>
        </w:rPr>
      </w:pPr>
      <w:r w:rsidRPr="00DA2107">
        <w:rPr>
          <w:b w:val="0"/>
          <w:bCs/>
          <w:u w:val="single"/>
        </w:rPr>
        <w:t>Significance of age group</w:t>
      </w:r>
    </w:p>
    <w:p w14:paraId="4E71EB89" w14:textId="7CCF57D8" w:rsidR="00EA0C63" w:rsidRDefault="0086532F" w:rsidP="003A372F">
      <w:pPr>
        <w:spacing w:line="480" w:lineRule="auto"/>
      </w:pPr>
      <w:r>
        <w:tab/>
      </w:r>
      <w:r w:rsidR="008D7791">
        <w:t xml:space="preserve">For patients under 50 years old, no excess risk of mortality was seen until </w:t>
      </w:r>
      <w:proofErr w:type="gramStart"/>
      <w:r w:rsidR="008D7791">
        <w:t>PA:AA</w:t>
      </w:r>
      <w:proofErr w:type="gramEnd"/>
      <w:r w:rsidR="008D7791">
        <w:t xml:space="preserve"> increased over roughly 1.0 (figure </w:t>
      </w:r>
      <w:r w:rsidR="007B76F1">
        <w:t>5</w:t>
      </w:r>
      <w:r w:rsidR="008D7791">
        <w:t xml:space="preserve">), but mortality risk increased at the proposed threshold of </w:t>
      </w:r>
      <w:proofErr w:type="spellStart"/>
      <w:r w:rsidR="008D7791">
        <w:t>PAd</w:t>
      </w:r>
      <w:proofErr w:type="spellEnd"/>
      <w:r w:rsidR="008D7791">
        <w:t xml:space="preserve">. For patients age 50-65, risk began </w:t>
      </w:r>
      <w:r w:rsidR="003A372F">
        <w:t xml:space="preserve">to increase near the usual thresholds for both </w:t>
      </w:r>
      <w:proofErr w:type="gramStart"/>
      <w:r w:rsidR="003A372F">
        <w:t>PA:AA</w:t>
      </w:r>
      <w:proofErr w:type="gramEnd"/>
      <w:r w:rsidR="003A372F">
        <w:t xml:space="preserve"> and </w:t>
      </w:r>
      <w:proofErr w:type="spellStart"/>
      <w:r w:rsidR="003A372F">
        <w:t>PAd</w:t>
      </w:r>
      <w:proofErr w:type="spellEnd"/>
      <w:r w:rsidR="003A372F">
        <w:t xml:space="preserve">. For adults over age 65, </w:t>
      </w:r>
      <w:proofErr w:type="spellStart"/>
      <w:r w:rsidR="003A372F">
        <w:t>PAd</w:t>
      </w:r>
      <w:proofErr w:type="spellEnd"/>
      <w:r w:rsidR="003A372F">
        <w:t xml:space="preserve"> did not discriminate individuals who are at lower verses higher risk of mortality as well as </w:t>
      </w:r>
      <w:proofErr w:type="gramStart"/>
      <w:r w:rsidR="003A372F">
        <w:t>PA:AA</w:t>
      </w:r>
      <w:proofErr w:type="gramEnd"/>
      <w:r w:rsidR="003A372F">
        <w:t xml:space="preserve">, or as well as </w:t>
      </w:r>
      <w:proofErr w:type="spellStart"/>
      <w:r w:rsidR="003A372F">
        <w:t>PAd</w:t>
      </w:r>
      <w:proofErr w:type="spellEnd"/>
      <w:r w:rsidR="003A372F">
        <w:t xml:space="preserve"> in other age strata. </w:t>
      </w:r>
    </w:p>
    <w:p w14:paraId="2C113CBC" w14:textId="2B2E2F66" w:rsidR="00C23F44" w:rsidRPr="005C6785" w:rsidRDefault="00C23F44" w:rsidP="005C6785">
      <w:pPr>
        <w:rPr>
          <w:rFonts w:ascii="Times" w:eastAsiaTheme="majorEastAsia" w:hAnsi="Times" w:cstheme="majorBidi"/>
          <w:b/>
          <w:color w:val="000000" w:themeColor="text1"/>
          <w:szCs w:val="32"/>
        </w:rPr>
      </w:pPr>
      <w:r>
        <w:rPr>
          <w:rFonts w:ascii="Times" w:hAnsi="Times"/>
        </w:rPr>
        <w:br w:type="page"/>
      </w:r>
    </w:p>
    <w:p w14:paraId="145E17C5" w14:textId="2623BFF6" w:rsidR="00C26AC4" w:rsidRPr="002077D4" w:rsidRDefault="006A34F7" w:rsidP="005D2E95">
      <w:pPr>
        <w:spacing w:line="480" w:lineRule="auto"/>
        <w:rPr>
          <w:rFonts w:ascii="Times" w:eastAsiaTheme="minorHAnsi" w:hAnsi="Times"/>
        </w:rPr>
      </w:pPr>
      <w:r w:rsidRPr="007E50A2">
        <w:rPr>
          <w:rFonts w:ascii="Times" w:eastAsiaTheme="majorEastAsia" w:hAnsi="Times" w:cstheme="majorBidi"/>
          <w:b/>
          <w:color w:val="000000" w:themeColor="text1"/>
          <w:szCs w:val="32"/>
        </w:rPr>
        <w:lastRenderedPageBreak/>
        <w:t>Discussion</w:t>
      </w:r>
    </w:p>
    <w:p w14:paraId="55A18BBC" w14:textId="64AB2749" w:rsidR="00DE40BB" w:rsidRDefault="000D791F" w:rsidP="00D17729">
      <w:pPr>
        <w:spacing w:line="480" w:lineRule="auto"/>
        <w:ind w:firstLine="720"/>
        <w:rPr>
          <w:rFonts w:ascii="Times" w:hAnsi="Times" w:cs="Calibri"/>
        </w:rPr>
      </w:pPr>
      <w:r>
        <w:rPr>
          <w:rFonts w:ascii="Times" w:hAnsi="Times" w:cs="Calibri"/>
        </w:rPr>
        <w:t xml:space="preserve">There are </w:t>
      </w:r>
      <w:r w:rsidR="00DE40BB">
        <w:rPr>
          <w:rFonts w:ascii="Times" w:hAnsi="Times" w:cs="Calibri"/>
        </w:rPr>
        <w:t>three</w:t>
      </w:r>
      <w:r>
        <w:rPr>
          <w:rFonts w:ascii="Times" w:hAnsi="Times" w:cs="Calibri"/>
        </w:rPr>
        <w:t xml:space="preserve"> main findings of this </w:t>
      </w:r>
      <w:r w:rsidR="009F5F25">
        <w:rPr>
          <w:rFonts w:ascii="Times" w:hAnsi="Times" w:cs="Calibri"/>
        </w:rPr>
        <w:t>secondary analysis of a large cohort of</w:t>
      </w:r>
      <w:r w:rsidR="009024AB">
        <w:rPr>
          <w:rFonts w:ascii="Times" w:hAnsi="Times" w:cs="Calibri"/>
        </w:rPr>
        <w:t xml:space="preserve"> Emergency Department-obtained</w:t>
      </w:r>
      <w:r w:rsidR="009F5F25">
        <w:rPr>
          <w:rFonts w:ascii="Times" w:hAnsi="Times" w:cs="Calibri"/>
        </w:rPr>
        <w:t xml:space="preserve"> </w:t>
      </w:r>
      <w:r w:rsidR="009024AB">
        <w:rPr>
          <w:rFonts w:ascii="Times" w:hAnsi="Times" w:cs="Calibri"/>
        </w:rPr>
        <w:t>CTPAs</w:t>
      </w:r>
      <w:r w:rsidR="009F5F25">
        <w:rPr>
          <w:rFonts w:ascii="Times" w:hAnsi="Times" w:cs="Calibri"/>
        </w:rPr>
        <w:t xml:space="preserve">. First, </w:t>
      </w:r>
      <w:r w:rsidR="00A13157">
        <w:rPr>
          <w:rFonts w:ascii="Times" w:hAnsi="Times" w:cs="Calibri"/>
        </w:rPr>
        <w:t xml:space="preserve">the degree of pulmonary artery enlargement by either </w:t>
      </w:r>
      <w:proofErr w:type="spellStart"/>
      <w:r w:rsidR="00A13157">
        <w:rPr>
          <w:rFonts w:ascii="Times" w:hAnsi="Times" w:cs="Calibri"/>
        </w:rPr>
        <w:t>PAd</w:t>
      </w:r>
      <w:proofErr w:type="spellEnd"/>
      <w:r w:rsidR="00A13157">
        <w:rPr>
          <w:rFonts w:ascii="Times" w:hAnsi="Times" w:cs="Calibri"/>
        </w:rPr>
        <w:t xml:space="preserve"> or </w:t>
      </w:r>
      <w:proofErr w:type="gramStart"/>
      <w:r w:rsidR="00A13157">
        <w:rPr>
          <w:rFonts w:ascii="Times" w:hAnsi="Times" w:cs="Calibri"/>
        </w:rPr>
        <w:t>PA:AA</w:t>
      </w:r>
      <w:proofErr w:type="gramEnd"/>
      <w:r w:rsidR="00A13157">
        <w:rPr>
          <w:rFonts w:ascii="Times" w:hAnsi="Times" w:cs="Calibri"/>
        </w:rPr>
        <w:t xml:space="preserve"> </w:t>
      </w:r>
      <w:r w:rsidR="00FE33A2">
        <w:rPr>
          <w:rFonts w:ascii="Times" w:hAnsi="Times" w:cs="Calibri"/>
        </w:rPr>
        <w:t xml:space="preserve">leads to a dose-dependent increased risk of mortality. Thus, simply dichotomizing PA size as enlarged or not inefficiently uses information and may give a misleading estimate of the prognostic significance when patients have size values near the threshold. </w:t>
      </w:r>
    </w:p>
    <w:p w14:paraId="27150E3B" w14:textId="063CC4DE" w:rsidR="00FE33A2" w:rsidRDefault="00FE33A2" w:rsidP="00D17729">
      <w:pPr>
        <w:spacing w:line="480" w:lineRule="auto"/>
        <w:ind w:firstLine="720"/>
        <w:rPr>
          <w:rFonts w:ascii="Times" w:hAnsi="Times" w:cs="Calibri"/>
        </w:rPr>
      </w:pPr>
      <w:r>
        <w:rPr>
          <w:rFonts w:ascii="Times" w:hAnsi="Times" w:cs="Calibri"/>
        </w:rPr>
        <w:t xml:space="preserve">Second the prevalence of PA enlargement depends on age, with an opposite effect for </w:t>
      </w:r>
      <w:proofErr w:type="spellStart"/>
      <w:r>
        <w:rPr>
          <w:rFonts w:ascii="Times" w:hAnsi="Times" w:cs="Calibri"/>
        </w:rPr>
        <w:t>PAd</w:t>
      </w:r>
      <w:proofErr w:type="spellEnd"/>
      <w:r>
        <w:rPr>
          <w:rFonts w:ascii="Times" w:hAnsi="Times" w:cs="Calibri"/>
        </w:rPr>
        <w:t xml:space="preserve"> and </w:t>
      </w:r>
      <w:proofErr w:type="gramStart"/>
      <w:r>
        <w:rPr>
          <w:rFonts w:ascii="Times" w:hAnsi="Times" w:cs="Calibri"/>
        </w:rPr>
        <w:t>PA:AA</w:t>
      </w:r>
      <w:proofErr w:type="gramEnd"/>
      <w:r>
        <w:rPr>
          <w:rFonts w:ascii="Times" w:hAnsi="Times" w:cs="Calibri"/>
        </w:rPr>
        <w:t xml:space="preserve">. </w:t>
      </w:r>
      <w:proofErr w:type="spellStart"/>
      <w:r>
        <w:rPr>
          <w:rFonts w:ascii="Times" w:hAnsi="Times" w:cs="Calibri"/>
        </w:rPr>
        <w:t>PAd</w:t>
      </w:r>
      <w:proofErr w:type="spellEnd"/>
      <w:r>
        <w:rPr>
          <w:rFonts w:ascii="Times" w:hAnsi="Times" w:cs="Calibri"/>
        </w:rPr>
        <w:t xml:space="preserve"> enlargement is more common in older adults while an elevated </w:t>
      </w:r>
      <w:proofErr w:type="gramStart"/>
      <w:r>
        <w:rPr>
          <w:rFonts w:ascii="Times" w:hAnsi="Times" w:cs="Calibri"/>
        </w:rPr>
        <w:t>PA:AA</w:t>
      </w:r>
      <w:proofErr w:type="gramEnd"/>
      <w:r>
        <w:rPr>
          <w:rFonts w:ascii="Times" w:hAnsi="Times" w:cs="Calibri"/>
        </w:rPr>
        <w:t xml:space="preserve"> is more common in younger adults. The ratio generally decreases with age despite </w:t>
      </w:r>
      <w:proofErr w:type="spellStart"/>
      <w:r>
        <w:rPr>
          <w:rFonts w:ascii="Times" w:hAnsi="Times" w:cs="Calibri"/>
        </w:rPr>
        <w:t>PAd</w:t>
      </w:r>
      <w:proofErr w:type="spellEnd"/>
      <w:r>
        <w:rPr>
          <w:rFonts w:ascii="Times" w:hAnsi="Times" w:cs="Calibri"/>
        </w:rPr>
        <w:t xml:space="preserve"> increasing with age because the AA increases even faster. This effect persists after controlling for the effect of accumulating comorbidities with age. </w:t>
      </w:r>
    </w:p>
    <w:p w14:paraId="1973F795" w14:textId="158F0B3F" w:rsidR="00FE33A2" w:rsidRDefault="00FE33A2" w:rsidP="00D17729">
      <w:pPr>
        <w:spacing w:line="480" w:lineRule="auto"/>
        <w:ind w:firstLine="720"/>
        <w:rPr>
          <w:rFonts w:ascii="Times" w:hAnsi="Times" w:cs="Calibri"/>
        </w:rPr>
      </w:pPr>
      <w:r>
        <w:rPr>
          <w:rFonts w:ascii="Times" w:hAnsi="Times" w:cs="Calibri"/>
        </w:rPr>
        <w:t xml:space="preserve">Third, the commonly seen enlargement of </w:t>
      </w:r>
      <w:proofErr w:type="spellStart"/>
      <w:r>
        <w:rPr>
          <w:rFonts w:ascii="Times" w:hAnsi="Times" w:cs="Calibri"/>
        </w:rPr>
        <w:t>PAd</w:t>
      </w:r>
      <w:proofErr w:type="spellEnd"/>
      <w:r>
        <w:rPr>
          <w:rFonts w:ascii="Times" w:hAnsi="Times" w:cs="Calibri"/>
        </w:rPr>
        <w:t xml:space="preserve"> in older adults does not seem to be associated with an increased risk of death. Similarly, the commonly seen elevated </w:t>
      </w:r>
      <w:proofErr w:type="gramStart"/>
      <w:r>
        <w:rPr>
          <w:rFonts w:ascii="Times" w:hAnsi="Times" w:cs="Calibri"/>
        </w:rPr>
        <w:t>PA:AA</w:t>
      </w:r>
      <w:proofErr w:type="gramEnd"/>
      <w:r>
        <w:rPr>
          <w:rFonts w:ascii="Times" w:hAnsi="Times" w:cs="Calibri"/>
        </w:rPr>
        <w:t xml:space="preserve"> seen in younger adults does not seem to be associated with an excess risk of death until elevation is markedly higher. </w:t>
      </w:r>
    </w:p>
    <w:p w14:paraId="1A14B97C" w14:textId="796F275F" w:rsidR="00FE33A2" w:rsidRDefault="00FE33A2" w:rsidP="00FE33A2">
      <w:pPr>
        <w:spacing w:line="480" w:lineRule="auto"/>
        <w:ind w:firstLine="720"/>
        <w:rPr>
          <w:rFonts w:ascii="Times" w:hAnsi="Times" w:cs="Calibri"/>
        </w:rPr>
      </w:pPr>
      <w:r>
        <w:rPr>
          <w:rFonts w:ascii="Times" w:hAnsi="Times" w:cs="Calibri"/>
        </w:rPr>
        <w:t xml:space="preserve">These findings suggest that </w:t>
      </w:r>
      <w:proofErr w:type="spellStart"/>
      <w:r>
        <w:rPr>
          <w:rFonts w:ascii="Times" w:hAnsi="Times" w:cs="Calibri"/>
        </w:rPr>
        <w:t>PAd</w:t>
      </w:r>
      <w:proofErr w:type="spellEnd"/>
      <w:r>
        <w:rPr>
          <w:rFonts w:ascii="Times" w:hAnsi="Times" w:cs="Calibri"/>
        </w:rPr>
        <w:t xml:space="preserve"> and </w:t>
      </w:r>
      <w:proofErr w:type="gramStart"/>
      <w:r>
        <w:rPr>
          <w:rFonts w:ascii="Times" w:hAnsi="Times" w:cs="Calibri"/>
        </w:rPr>
        <w:t>PA:AA</w:t>
      </w:r>
      <w:proofErr w:type="gramEnd"/>
      <w:r>
        <w:rPr>
          <w:rFonts w:ascii="Times" w:hAnsi="Times" w:cs="Calibri"/>
        </w:rPr>
        <w:t xml:space="preserve"> ought to be corrected for age </w:t>
      </w:r>
      <w:r>
        <w:rPr>
          <w:rFonts w:ascii="Times" w:hAnsi="Times" w:cs="Calibri"/>
        </w:rPr>
        <w:t xml:space="preserve">regardless whether the criterion of abnormality is frequency </w:t>
      </w:r>
      <w:r>
        <w:rPr>
          <w:rFonts w:ascii="Times" w:hAnsi="Times" w:cs="Calibri"/>
        </w:rPr>
        <w:t xml:space="preserve">of occurrence </w:t>
      </w:r>
      <w:r>
        <w:rPr>
          <w:rFonts w:ascii="Times" w:hAnsi="Times" w:cs="Calibri"/>
        </w:rPr>
        <w:t>or prognostic significance</w:t>
      </w:r>
      <w:r>
        <w:rPr>
          <w:rFonts w:ascii="Times" w:hAnsi="Times" w:cs="Calibri"/>
        </w:rPr>
        <w:t xml:space="preserve">.  </w:t>
      </w:r>
      <w:r>
        <w:rPr>
          <w:rFonts w:ascii="Times" w:hAnsi="Times" w:cs="Calibri"/>
        </w:rPr>
        <w:t xml:space="preserve">Roughly 1 in 3 of patients in their 20s or 30s were classified as having elevated PA:AA ratios by the traditional cutoff. However, we did not find evidence that these common, mild elevation in </w:t>
      </w:r>
      <w:proofErr w:type="gramStart"/>
      <w:r>
        <w:rPr>
          <w:rFonts w:ascii="Times" w:hAnsi="Times" w:cs="Calibri"/>
        </w:rPr>
        <w:t>PA:AA</w:t>
      </w:r>
      <w:proofErr w:type="gramEnd"/>
      <w:r>
        <w:rPr>
          <w:rFonts w:ascii="Times" w:hAnsi="Times" w:cs="Calibri"/>
        </w:rPr>
        <w:t xml:space="preserve"> are associated with an increased hazard of mortality.</w:t>
      </w:r>
      <w:r>
        <w:rPr>
          <w:rFonts w:ascii="Times" w:hAnsi="Times" w:cs="Calibri"/>
        </w:rPr>
        <w:t xml:space="preserve"> </w:t>
      </w:r>
      <w:r w:rsidR="00860E58">
        <w:rPr>
          <w:rFonts w:ascii="Times" w:hAnsi="Times" w:cs="Calibri"/>
        </w:rPr>
        <w:t>It is likely that this age-associated misclassification dilutes the predictive power of both PA size metrics. Thus, previously neutral results of association (</w:t>
      </w:r>
      <w:proofErr w:type="gramStart"/>
      <w:r w:rsidR="00860E58">
        <w:rPr>
          <w:rFonts w:ascii="Times" w:hAnsi="Times" w:cs="Calibri"/>
        </w:rPr>
        <w:t>e.g.</w:t>
      </w:r>
      <w:proofErr w:type="gramEnd"/>
      <w:r w:rsidR="00860E58">
        <w:rPr>
          <w:rFonts w:ascii="Times" w:hAnsi="Times" w:cs="Calibri"/>
        </w:rPr>
        <w:t xml:space="preserve"> in the general population), might be revisited to assess if associations </w:t>
      </w:r>
      <w:proofErr w:type="spellStart"/>
      <w:r w:rsidR="00860E58">
        <w:rPr>
          <w:rFonts w:ascii="Times" w:hAnsi="Times" w:cs="Calibri"/>
        </w:rPr>
        <w:t>aresignificant</w:t>
      </w:r>
      <w:proofErr w:type="spellEnd"/>
      <w:r w:rsidR="00860E58">
        <w:rPr>
          <w:rFonts w:ascii="Times" w:hAnsi="Times" w:cs="Calibri"/>
        </w:rPr>
        <w:t xml:space="preserve"> with better classification of whether the PA is enlarged </w:t>
      </w:r>
      <w:r w:rsidR="00860E58" w:rsidRPr="00860E58">
        <w:rPr>
          <w:rFonts w:ascii="Times" w:hAnsi="Times" w:cs="Calibri"/>
          <w:i/>
          <w:iCs/>
        </w:rPr>
        <w:t>for the patients age</w:t>
      </w:r>
      <w:r w:rsidR="00860E58">
        <w:rPr>
          <w:rFonts w:ascii="Times" w:hAnsi="Times" w:cs="Calibri"/>
        </w:rPr>
        <w:t>, or not</w:t>
      </w:r>
    </w:p>
    <w:p w14:paraId="25FA2146" w14:textId="77777777" w:rsidR="00860E58" w:rsidRDefault="00121EAB" w:rsidP="00D17729">
      <w:pPr>
        <w:spacing w:line="480" w:lineRule="auto"/>
        <w:ind w:firstLine="720"/>
        <w:rPr>
          <w:rFonts w:ascii="Times" w:hAnsi="Times" w:cs="Calibri"/>
        </w:rPr>
      </w:pPr>
      <w:r>
        <w:rPr>
          <w:rFonts w:ascii="Times" w:hAnsi="Times" w:cs="Calibri"/>
        </w:rPr>
        <w:lastRenderedPageBreak/>
        <w:t>There are a few immediate clinical and research implications of these findings. First, methods such as interval likelihood ratios (for clinical use)</w:t>
      </w:r>
      <w:r w:rsidR="00047C3F">
        <w:rPr>
          <w:rFonts w:ascii="Times" w:hAnsi="Times" w:cs="Calibri"/>
        </w:rPr>
        <w:fldChar w:fldCharType="begin"/>
      </w:r>
      <w:r w:rsidR="00047C3F">
        <w:rPr>
          <w:rFonts w:ascii="Times" w:hAnsi="Times" w:cs="Calibri"/>
        </w:rPr>
        <w:instrText xml:space="preserve"> ADDIN ZOTERO_ITEM CSL_CITATION {"citationID":"0H4ZUTTE","properties":{"formattedCitation":"\\super 3\\nosupersub{}","plainCitation":"3","noteIndex":0},"citationItems":[{"id":152,"uris":["http://zotero.org/users/10706980/items/SCV3FWAB"],"itemData":{"id":152,"type":"article-journal","abstract":"Many clinical diagnostic tests, such as the joint fluid white blood cell count, produce results on a continuous scale, rather than a mere positive or negative. The accuracy of such tests is often reported as a positive and negative likelihood ratio at each of several potential cutoff points (e.g., ≥25,000/μL vs. not, ≥50,000/μL vs. not; ≥100,000/μL vs. not).  This Key Concepts article reviews the definition of a likelihood ratio and explains why the practice of dichotomizing the test is problematic. Instead, it proposes that such continuous scales be divided into multiple intervals (e.g., 0–25,000, &gt;25,000–50,000, &gt;50,000–100,000, &gt;100,000) and each interval be given its own likelihood ratio.  This practice not only aligns with clinical common sense and practice but also enables a more accurate estimate of the updated risk of disease, given a pre-test risk.","container-title":"Journal of Clinical Epidemiology","DOI":"10.1016/j.jclinepi.2021.07.012","ISSN":"0895-4356","journalAbbreviation":"Journal of Clinical Epidemiology","page":"157-160","title":"Key concepts in clinical epidemiology: reporting on the accuracy of continuous tests","URL":"https://www.sciencedirect.com/science/article/pii/S0895435621002201","volume":"141","author":[{"family":"Kohn","given":"Michael A."}],"issued":{"date-parts":[["2022",1,1]]},"citation-key":"kohnKeyConceptsClinical2022"}}],"schema":"https://github.com/citation-style-language/schema/raw/master/csl-citation.json"} </w:instrText>
      </w:r>
      <w:r w:rsidR="00047C3F">
        <w:rPr>
          <w:rFonts w:ascii="Times" w:hAnsi="Times" w:cs="Calibri"/>
        </w:rPr>
        <w:fldChar w:fldCharType="separate"/>
      </w:r>
      <w:r w:rsidR="00047C3F" w:rsidRPr="00047C3F">
        <w:rPr>
          <w:rFonts w:ascii="Times" w:hAnsi="Times" w:cs="Times"/>
          <w:vertAlign w:val="superscript"/>
        </w:rPr>
        <w:t>3</w:t>
      </w:r>
      <w:r w:rsidR="00047C3F">
        <w:rPr>
          <w:rFonts w:ascii="Times" w:hAnsi="Times" w:cs="Calibri"/>
        </w:rPr>
        <w:fldChar w:fldCharType="end"/>
      </w:r>
      <w:r>
        <w:rPr>
          <w:rFonts w:ascii="Times" w:hAnsi="Times" w:cs="Calibri"/>
        </w:rPr>
        <w:t xml:space="preserve"> and modeling strategies that do not assume a linear or dichotomous form (for research use)</w:t>
      </w:r>
      <w:r w:rsidR="00047C3F">
        <w:rPr>
          <w:rFonts w:ascii="Times" w:hAnsi="Times" w:cs="Calibri"/>
        </w:rPr>
        <w:fldChar w:fldCharType="begin"/>
      </w:r>
      <w:r w:rsidR="0064402C">
        <w:rPr>
          <w:rFonts w:ascii="Times" w:hAnsi="Times" w:cs="Calibri"/>
        </w:rPr>
        <w:instrText xml:space="preserve"> ADDIN ZOTERO_ITEM CSL_CITATION {"citationID":"UuF0Iepg","properties":{"formattedCitation":"\\super 9\\nosupersub{}","plainCitation":"9","noteIndex":0},"citationItems":[{"id":190,"uris":["http://zotero.org/users/10706980/items/5J7I6G3J"],"itemData":{"id":190,"type":"article-journal","container-title":"Statistics in medicine","ISSN":"0277-6715","issue":"23","journalAbbreviation":"Statistics in medicine","note":"publisher: Wiley Online Library","page":"4124-4135","title":"Quantifying the impact of different approaches for handling continuous predictors on the performance of a prognostic model","volume":"35","author":[{"family":"Collins","given":"Gary S"},{"family":"Ogundimu","given":"Emmanuel O"},{"family":"Cook","given":"Jonathan A"},{"family":"Manach","given":"Yannick Le"},{"family":"Altman","given":"Douglas G"}],"issued":{"date-parts":[["2016"]]},"citation-key":"collinsQuantifyingImpactDifferent2016"}}],"schema":"https://github.com/citation-style-language/schema/raw/master/csl-citation.json"} </w:instrText>
      </w:r>
      <w:r w:rsidR="00047C3F">
        <w:rPr>
          <w:rFonts w:ascii="Times" w:hAnsi="Times" w:cs="Calibri"/>
        </w:rPr>
        <w:fldChar w:fldCharType="separate"/>
      </w:r>
      <w:r w:rsidR="0064402C" w:rsidRPr="0064402C">
        <w:rPr>
          <w:rFonts w:ascii="Times" w:hAnsi="Times" w:cs="Times"/>
          <w:vertAlign w:val="superscript"/>
        </w:rPr>
        <w:t>9</w:t>
      </w:r>
      <w:r w:rsidR="00047C3F">
        <w:rPr>
          <w:rFonts w:ascii="Times" w:hAnsi="Times" w:cs="Calibri"/>
        </w:rPr>
        <w:fldChar w:fldCharType="end"/>
      </w:r>
      <w:r>
        <w:rPr>
          <w:rFonts w:ascii="Times" w:hAnsi="Times" w:cs="Calibri"/>
        </w:rPr>
        <w:t xml:space="preserve"> could help avoid inefficient and misleading use of the prognostic information contained in PA size measurements.  </w:t>
      </w:r>
      <w:r w:rsidR="00047C3F">
        <w:rPr>
          <w:rFonts w:ascii="Times" w:hAnsi="Times" w:cs="Calibri"/>
        </w:rPr>
        <w:t xml:space="preserve">Second age adjustment, particularly for </w:t>
      </w:r>
      <w:proofErr w:type="gramStart"/>
      <w:r w:rsidR="00047C3F">
        <w:rPr>
          <w:rFonts w:ascii="Times" w:hAnsi="Times" w:cs="Calibri"/>
        </w:rPr>
        <w:t>PA:AA</w:t>
      </w:r>
      <w:proofErr w:type="gramEnd"/>
      <w:r w:rsidR="00047C3F">
        <w:rPr>
          <w:rFonts w:ascii="Times" w:hAnsi="Times" w:cs="Calibri"/>
        </w:rPr>
        <w:t xml:space="preserve">, should be considered. </w:t>
      </w:r>
    </w:p>
    <w:p w14:paraId="3506079B" w14:textId="77777777" w:rsidR="00860E58" w:rsidRDefault="00860E58" w:rsidP="00D17729">
      <w:pPr>
        <w:spacing w:line="480" w:lineRule="auto"/>
        <w:ind w:firstLine="720"/>
        <w:rPr>
          <w:rFonts w:ascii="Times" w:hAnsi="Times" w:cs="Calibri"/>
        </w:rPr>
      </w:pPr>
    </w:p>
    <w:p w14:paraId="52228195" w14:textId="21731187" w:rsidR="00860E58" w:rsidRDefault="00047C3F" w:rsidP="00860E58">
      <w:pPr>
        <w:spacing w:line="480" w:lineRule="auto"/>
        <w:ind w:firstLine="360"/>
        <w:rPr>
          <w:rFonts w:ascii="Times" w:hAnsi="Times" w:cs="Calibri"/>
        </w:rPr>
      </w:pPr>
      <w:r>
        <w:rPr>
          <w:rFonts w:ascii="Times" w:hAnsi="Times" w:cs="Calibri"/>
        </w:rPr>
        <w:t xml:space="preserve">One principal limitation to the current analysis is that the age stratification is a post-hoc hypotheses that was formulated after seeing the excess frequency of abnormal classifications in each age group. Thus, validation in an independent dataset is needed. </w:t>
      </w:r>
      <w:r w:rsidR="00860E58">
        <w:rPr>
          <w:rFonts w:ascii="Times" w:hAnsi="Times" w:cs="Calibri"/>
        </w:rPr>
        <w:t xml:space="preserve">However, it should be noted that a similar effect of age was found in the </w:t>
      </w:r>
      <w:r w:rsidR="00860E58">
        <w:rPr>
          <w:rFonts w:ascii="Times" w:hAnsi="Times" w:cs="Calibri"/>
        </w:rPr>
        <w:t>purportedly healthy Framingham cohort in an analysis by Truong et al.</w:t>
      </w:r>
      <w:r w:rsidR="00860E58">
        <w:rPr>
          <w:rFonts w:ascii="Times" w:hAnsi="Times" w:cs="Calibri"/>
        </w:rPr>
        <w:fldChar w:fldCharType="begin"/>
      </w:r>
      <w:r w:rsidR="00860E58">
        <w:rPr>
          <w:rFonts w:ascii="Times" w:hAnsi="Times" w:cs="Calibri"/>
        </w:rPr>
        <w:instrText xml:space="preserve"> ADDIN ZOTERO_ITEM CSL_CITATION {"citationID":"rfhsiULV","properties":{"formattedCitation":"\\super 1\\nosupersub{}","plainCitation":"1","noteIndex":0},"citationItems":[{"id":154,"uris":["http://zotero.org/users/10706980/items/9BFGGDBR"],"itemData":{"id":154,"type":"article-journal","container-title":"Circulation: Cardiovascular Imaging","ISSN":"1941-9651","issue":"1","journalAbbreviation":"Circulation: Cardiovascular Imaging","note":"publisher: Am Heart Assoc","page":"147-154","title":"Reference values for normal pulmonary artery dimensions by noncontrast cardiac computed tomography: the Framingham Heart Study","volume":"5","author":[{"family":"Truong","given":"Quynh A"},{"family":"Massaro","given":"Joseph M"},{"family":"Rogers","given":"Ian S"},{"family":"Mahabadi","given":"Amir A"},{"family":"Kriegel","given":"Matthias F"},{"family":"Fox","given":"Caroline S"},{"family":"O'Donnell","given":"Christopher J"},{"family":"Hoffmann","given":"Udo"}],"issued":{"date-parts":[["2012"]]},"citation-key":"truongReferenceValuesNormal2012"}}],"schema":"https://github.com/citation-style-language/schema/raw/master/csl-citation.json"} </w:instrText>
      </w:r>
      <w:r w:rsidR="00860E58">
        <w:rPr>
          <w:rFonts w:ascii="Times" w:hAnsi="Times" w:cs="Calibri"/>
        </w:rPr>
        <w:fldChar w:fldCharType="separate"/>
      </w:r>
      <w:r w:rsidR="00860E58" w:rsidRPr="00CB2FE8">
        <w:rPr>
          <w:rFonts w:ascii="Times" w:hAnsi="Times" w:cs="Times"/>
          <w:vertAlign w:val="superscript"/>
        </w:rPr>
        <w:t>1</w:t>
      </w:r>
      <w:r w:rsidR="00860E58">
        <w:rPr>
          <w:rFonts w:ascii="Times" w:hAnsi="Times" w:cs="Calibri"/>
        </w:rPr>
        <w:fldChar w:fldCharType="end"/>
      </w:r>
      <w:r w:rsidR="00860E58">
        <w:rPr>
          <w:rFonts w:ascii="Times" w:hAnsi="Times" w:cs="Calibri"/>
        </w:rPr>
        <w:t xml:space="preserve">, but this was not integrated into the proposed threshold for classifying abnormality. </w:t>
      </w:r>
    </w:p>
    <w:p w14:paraId="22E235A2" w14:textId="470378A4" w:rsidR="00121EAB" w:rsidRDefault="00860E58" w:rsidP="00860E58">
      <w:pPr>
        <w:spacing w:line="480" w:lineRule="auto"/>
        <w:ind w:firstLine="360"/>
        <w:rPr>
          <w:rFonts w:ascii="Times" w:hAnsi="Times" w:cs="Calibri"/>
        </w:rPr>
      </w:pPr>
      <w:r>
        <w:rPr>
          <w:rFonts w:ascii="Times" w:hAnsi="Times" w:cs="Calibri"/>
        </w:rPr>
        <w:t xml:space="preserve">Lastly, the mechanisms of the association of PA size with age or mortality are not clear. We evaluated an emergency department population, and thus it would be helpful to replicate this analysis in other circumstances to evaluate if this effect is specific to the emergency department. </w:t>
      </w:r>
    </w:p>
    <w:p w14:paraId="5826C42E" w14:textId="44A20795" w:rsidR="00034960" w:rsidRDefault="00047C3F" w:rsidP="00034960">
      <w:pPr>
        <w:spacing w:line="480" w:lineRule="auto"/>
        <w:ind w:firstLine="720"/>
        <w:rPr>
          <w:rFonts w:ascii="Times" w:hAnsi="Times"/>
        </w:rPr>
      </w:pPr>
      <w:r>
        <w:rPr>
          <w:rFonts w:ascii="Times" w:hAnsi="Times" w:cs="Calibri"/>
        </w:rPr>
        <w:t xml:space="preserve">In summary, we find that </w:t>
      </w:r>
      <w:r w:rsidR="00034960">
        <w:rPr>
          <w:rFonts w:ascii="Times" w:hAnsi="Times" w:cs="Calibri"/>
        </w:rPr>
        <w:t xml:space="preserve">the excess risk conferred by enlarged </w:t>
      </w:r>
      <w:proofErr w:type="spellStart"/>
      <w:r w:rsidR="00034960">
        <w:rPr>
          <w:rFonts w:ascii="Times" w:hAnsi="Times" w:cs="Calibri"/>
        </w:rPr>
        <w:t>PAd</w:t>
      </w:r>
      <w:proofErr w:type="spellEnd"/>
      <w:r w:rsidR="00034960">
        <w:rPr>
          <w:rFonts w:ascii="Times" w:hAnsi="Times" w:cs="Calibri"/>
        </w:rPr>
        <w:t xml:space="preserve"> and elevated </w:t>
      </w:r>
      <w:proofErr w:type="gramStart"/>
      <w:r w:rsidR="00034960">
        <w:rPr>
          <w:rFonts w:ascii="Times" w:hAnsi="Times" w:cs="Calibri"/>
        </w:rPr>
        <w:t>PA:AA</w:t>
      </w:r>
      <w:proofErr w:type="gramEnd"/>
      <w:r w:rsidR="00034960">
        <w:rPr>
          <w:rFonts w:ascii="Times" w:hAnsi="Times" w:cs="Calibri"/>
        </w:rPr>
        <w:t xml:space="preserve"> occurs in a dose-response relationship, but that excess risk varies by age group. In particular, mild elevations in </w:t>
      </w:r>
      <w:proofErr w:type="gramStart"/>
      <w:r w:rsidR="00034960">
        <w:rPr>
          <w:rFonts w:ascii="Times" w:hAnsi="Times" w:cs="Calibri"/>
        </w:rPr>
        <w:t>PA:AA</w:t>
      </w:r>
      <w:proofErr w:type="gramEnd"/>
      <w:r w:rsidR="00034960">
        <w:rPr>
          <w:rFonts w:ascii="Times" w:hAnsi="Times" w:cs="Calibri"/>
        </w:rPr>
        <w:t xml:space="preserve"> are common among patients presenting to the ED, but do not appear to be associated with increased risk of death. </w:t>
      </w:r>
    </w:p>
    <w:p w14:paraId="1D4A628F" w14:textId="71110F26" w:rsidR="00A5794B" w:rsidRPr="00A21774" w:rsidRDefault="00A5794B" w:rsidP="00A21774">
      <w:pPr>
        <w:spacing w:line="480" w:lineRule="auto"/>
        <w:rPr>
          <w:rFonts w:ascii="Times" w:hAnsi="Times" w:cs="Calibri"/>
        </w:rPr>
      </w:pPr>
      <w:r>
        <w:rPr>
          <w:rFonts w:ascii="Times" w:hAnsi="Times"/>
        </w:rPr>
        <w:br w:type="page"/>
      </w:r>
    </w:p>
    <w:p w14:paraId="2FFFFE1D" w14:textId="3F6576C2" w:rsidR="00213EE6" w:rsidRPr="001D5A5C" w:rsidRDefault="00213EE6" w:rsidP="00D17729">
      <w:pPr>
        <w:spacing w:line="480" w:lineRule="auto"/>
        <w:rPr>
          <w:rFonts w:ascii="Times" w:hAnsi="Times"/>
        </w:rPr>
      </w:pPr>
      <w:r w:rsidRPr="001D5A5C">
        <w:rPr>
          <w:b/>
        </w:rPr>
        <w:lastRenderedPageBreak/>
        <w:t xml:space="preserve">Tables and </w:t>
      </w:r>
      <w:proofErr w:type="gramStart"/>
      <w:r w:rsidRPr="001D5A5C">
        <w:rPr>
          <w:b/>
        </w:rPr>
        <w:t>Figures;</w:t>
      </w:r>
      <w:proofErr w:type="gramEnd"/>
      <w:r w:rsidRPr="001D5A5C">
        <w:rPr>
          <w:b/>
        </w:rPr>
        <w:t xml:space="preserve"> </w:t>
      </w:r>
    </w:p>
    <w:p w14:paraId="405B0858" w14:textId="7F6DA910" w:rsidR="0019444A" w:rsidRDefault="00C63B97" w:rsidP="0019444A">
      <w:pPr>
        <w:pStyle w:val="Heading2"/>
      </w:pPr>
      <w:r w:rsidRPr="004E142F">
        <w:t>Table 1</w:t>
      </w:r>
      <w:r w:rsidR="00E738AD">
        <w:t xml:space="preserve"> </w:t>
      </w:r>
    </w:p>
    <w:tbl>
      <w:tblPr>
        <w:tblW w:w="0" w:type="auto"/>
        <w:tblLook w:val="04A0" w:firstRow="1" w:lastRow="0" w:firstColumn="1" w:lastColumn="0" w:noHBand="0" w:noVBand="1"/>
      </w:tblPr>
      <w:tblGrid>
        <w:gridCol w:w="3100"/>
        <w:gridCol w:w="1560"/>
        <w:gridCol w:w="1560"/>
        <w:gridCol w:w="1560"/>
        <w:gridCol w:w="1560"/>
      </w:tblGrid>
      <w:tr w:rsidR="0019444A" w14:paraId="4D95AD11" w14:textId="77777777" w:rsidTr="005D60F4">
        <w:trPr>
          <w:trHeight w:val="330"/>
        </w:trPr>
        <w:tc>
          <w:tcPr>
            <w:tcW w:w="0" w:type="auto"/>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F5BED75" w14:textId="77777777" w:rsidR="0019444A" w:rsidRDefault="0019444A" w:rsidP="005D60F4">
            <w:r>
              <w:t> </w:t>
            </w:r>
          </w:p>
        </w:tc>
        <w:tc>
          <w:tcPr>
            <w:tcW w:w="0" w:type="auto"/>
            <w:tcBorders>
              <w:top w:val="single" w:sz="8" w:space="0" w:color="BFBFBF"/>
              <w:left w:val="nil"/>
              <w:bottom w:val="single" w:sz="8" w:space="0" w:color="BFBFBF"/>
              <w:right w:val="single" w:sz="8" w:space="0" w:color="BFBFBF"/>
            </w:tcBorders>
            <w:shd w:val="clear" w:color="auto" w:fill="auto"/>
            <w:noWrap/>
            <w:vAlign w:val="center"/>
            <w:hideMark/>
          </w:tcPr>
          <w:p w14:paraId="04B1AB60" w14:textId="77777777" w:rsidR="0019444A" w:rsidRDefault="0019444A" w:rsidP="005D60F4">
            <w:r>
              <w:t>Total</w:t>
            </w:r>
          </w:p>
        </w:tc>
        <w:tc>
          <w:tcPr>
            <w:tcW w:w="0" w:type="auto"/>
            <w:tcBorders>
              <w:top w:val="single" w:sz="8" w:space="0" w:color="BFBFBF"/>
              <w:left w:val="nil"/>
              <w:bottom w:val="single" w:sz="8" w:space="0" w:color="BFBFBF"/>
              <w:right w:val="single" w:sz="8" w:space="0" w:color="BFBFBF"/>
            </w:tcBorders>
            <w:shd w:val="clear" w:color="auto" w:fill="auto"/>
            <w:noWrap/>
            <w:vAlign w:val="center"/>
            <w:hideMark/>
          </w:tcPr>
          <w:p w14:paraId="2F083DBE" w14:textId="77777777" w:rsidR="0019444A" w:rsidRDefault="0019444A" w:rsidP="005D60F4">
            <w:r>
              <w:t>&lt;50 years</w:t>
            </w:r>
          </w:p>
        </w:tc>
        <w:tc>
          <w:tcPr>
            <w:tcW w:w="0" w:type="auto"/>
            <w:tcBorders>
              <w:top w:val="single" w:sz="8" w:space="0" w:color="BFBFBF"/>
              <w:left w:val="nil"/>
              <w:bottom w:val="single" w:sz="8" w:space="0" w:color="BFBFBF"/>
              <w:right w:val="single" w:sz="8" w:space="0" w:color="BFBFBF"/>
            </w:tcBorders>
            <w:shd w:val="clear" w:color="auto" w:fill="auto"/>
            <w:noWrap/>
            <w:vAlign w:val="center"/>
            <w:hideMark/>
          </w:tcPr>
          <w:p w14:paraId="6A3580E1" w14:textId="77777777" w:rsidR="0019444A" w:rsidRDefault="0019444A" w:rsidP="005D60F4">
            <w:r>
              <w:t>50-65 years</w:t>
            </w:r>
          </w:p>
        </w:tc>
        <w:tc>
          <w:tcPr>
            <w:tcW w:w="0" w:type="auto"/>
            <w:tcBorders>
              <w:top w:val="single" w:sz="8" w:space="0" w:color="BFBFBF"/>
              <w:left w:val="nil"/>
              <w:bottom w:val="single" w:sz="8" w:space="0" w:color="BFBFBF"/>
              <w:right w:val="single" w:sz="8" w:space="0" w:color="BFBFBF"/>
            </w:tcBorders>
            <w:shd w:val="clear" w:color="auto" w:fill="auto"/>
            <w:noWrap/>
            <w:vAlign w:val="center"/>
            <w:hideMark/>
          </w:tcPr>
          <w:p w14:paraId="219E364B" w14:textId="77777777" w:rsidR="0019444A" w:rsidRDefault="0019444A" w:rsidP="005D60F4">
            <w:r>
              <w:t>65+ years</w:t>
            </w:r>
          </w:p>
        </w:tc>
      </w:tr>
      <w:tr w:rsidR="0019444A" w14:paraId="4BC6434D" w14:textId="77777777" w:rsidTr="005D60F4">
        <w:trPr>
          <w:trHeight w:val="330"/>
        </w:trPr>
        <w:tc>
          <w:tcPr>
            <w:tcW w:w="0" w:type="auto"/>
            <w:tcBorders>
              <w:top w:val="nil"/>
              <w:left w:val="single" w:sz="8" w:space="0" w:color="BFBFBF"/>
              <w:bottom w:val="single" w:sz="8" w:space="0" w:color="BFBFBF"/>
              <w:right w:val="single" w:sz="8" w:space="0" w:color="BFBFBF"/>
            </w:tcBorders>
            <w:shd w:val="clear" w:color="000000" w:fill="F2F2F2"/>
            <w:noWrap/>
            <w:hideMark/>
          </w:tcPr>
          <w:p w14:paraId="021D4C82" w14:textId="77777777" w:rsidR="0019444A" w:rsidRDefault="0019444A" w:rsidP="005D60F4">
            <w:pPr>
              <w:rPr>
                <w:rFonts w:ascii="Calibri" w:hAnsi="Calibri" w:cs="Calibri"/>
              </w:rPr>
            </w:pPr>
            <w:r>
              <w:rPr>
                <w:rFonts w:ascii="Calibri" w:hAnsi="Calibri" w:cs="Calibri"/>
              </w:rPr>
              <w:t> </w:t>
            </w:r>
          </w:p>
        </w:tc>
        <w:tc>
          <w:tcPr>
            <w:tcW w:w="0" w:type="auto"/>
            <w:tcBorders>
              <w:top w:val="nil"/>
              <w:left w:val="nil"/>
              <w:bottom w:val="single" w:sz="8" w:space="0" w:color="BFBFBF"/>
              <w:right w:val="single" w:sz="8" w:space="0" w:color="BFBFBF"/>
            </w:tcBorders>
            <w:shd w:val="clear" w:color="000000" w:fill="F2F2F2"/>
            <w:noWrap/>
            <w:vAlign w:val="center"/>
            <w:hideMark/>
          </w:tcPr>
          <w:p w14:paraId="390CB6D9" w14:textId="77777777" w:rsidR="0019444A" w:rsidRDefault="0019444A" w:rsidP="005D60F4">
            <w:pPr>
              <w:rPr>
                <w:color w:val="000000"/>
              </w:rPr>
            </w:pPr>
            <w:r>
              <w:rPr>
                <w:color w:val="000000"/>
              </w:rPr>
              <w:t>N=889</w:t>
            </w:r>
          </w:p>
        </w:tc>
        <w:tc>
          <w:tcPr>
            <w:tcW w:w="0" w:type="auto"/>
            <w:tcBorders>
              <w:top w:val="nil"/>
              <w:left w:val="nil"/>
              <w:bottom w:val="single" w:sz="8" w:space="0" w:color="BFBFBF"/>
              <w:right w:val="single" w:sz="8" w:space="0" w:color="BFBFBF"/>
            </w:tcBorders>
            <w:shd w:val="clear" w:color="000000" w:fill="F2F2F2"/>
            <w:noWrap/>
            <w:vAlign w:val="center"/>
            <w:hideMark/>
          </w:tcPr>
          <w:p w14:paraId="37CF6F56" w14:textId="77777777" w:rsidR="0019444A" w:rsidRDefault="0019444A" w:rsidP="005D60F4">
            <w:pPr>
              <w:rPr>
                <w:color w:val="000000"/>
              </w:rPr>
            </w:pPr>
            <w:r>
              <w:rPr>
                <w:color w:val="000000"/>
              </w:rPr>
              <w:t>N=425</w:t>
            </w:r>
          </w:p>
        </w:tc>
        <w:tc>
          <w:tcPr>
            <w:tcW w:w="0" w:type="auto"/>
            <w:tcBorders>
              <w:top w:val="nil"/>
              <w:left w:val="nil"/>
              <w:bottom w:val="single" w:sz="8" w:space="0" w:color="BFBFBF"/>
              <w:right w:val="single" w:sz="8" w:space="0" w:color="BFBFBF"/>
            </w:tcBorders>
            <w:shd w:val="clear" w:color="000000" w:fill="F2F2F2"/>
            <w:noWrap/>
            <w:vAlign w:val="center"/>
            <w:hideMark/>
          </w:tcPr>
          <w:p w14:paraId="2BEF122E" w14:textId="77777777" w:rsidR="0019444A" w:rsidRDefault="0019444A" w:rsidP="005D60F4">
            <w:pPr>
              <w:rPr>
                <w:color w:val="000000"/>
              </w:rPr>
            </w:pPr>
            <w:r>
              <w:rPr>
                <w:color w:val="000000"/>
              </w:rPr>
              <w:t>N=217</w:t>
            </w:r>
          </w:p>
        </w:tc>
        <w:tc>
          <w:tcPr>
            <w:tcW w:w="0" w:type="auto"/>
            <w:tcBorders>
              <w:top w:val="nil"/>
              <w:left w:val="nil"/>
              <w:bottom w:val="single" w:sz="8" w:space="0" w:color="BFBFBF"/>
              <w:right w:val="single" w:sz="8" w:space="0" w:color="BFBFBF"/>
            </w:tcBorders>
            <w:shd w:val="clear" w:color="000000" w:fill="F2F2F2"/>
            <w:noWrap/>
            <w:vAlign w:val="center"/>
            <w:hideMark/>
          </w:tcPr>
          <w:p w14:paraId="0D9943AF" w14:textId="77777777" w:rsidR="0019444A" w:rsidRDefault="0019444A" w:rsidP="005D60F4">
            <w:pPr>
              <w:rPr>
                <w:color w:val="000000"/>
              </w:rPr>
            </w:pPr>
            <w:r>
              <w:rPr>
                <w:color w:val="000000"/>
              </w:rPr>
              <w:t>N=247</w:t>
            </w:r>
          </w:p>
        </w:tc>
      </w:tr>
      <w:tr w:rsidR="0019444A" w14:paraId="6CB0712C" w14:textId="77777777" w:rsidTr="005D60F4">
        <w:trPr>
          <w:trHeight w:val="330"/>
        </w:trPr>
        <w:tc>
          <w:tcPr>
            <w:tcW w:w="0" w:type="auto"/>
            <w:gridSpan w:val="5"/>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010B9B1" w14:textId="77777777" w:rsidR="0019444A" w:rsidRDefault="0019444A" w:rsidP="005D60F4">
            <w:pPr>
              <w:rPr>
                <w:b/>
                <w:bCs/>
              </w:rPr>
            </w:pPr>
            <w:r>
              <w:rPr>
                <w:b/>
                <w:bCs/>
              </w:rPr>
              <w:t>PA diameter</w:t>
            </w:r>
          </w:p>
        </w:tc>
      </w:tr>
      <w:tr w:rsidR="0019444A" w14:paraId="6BDAD028" w14:textId="77777777" w:rsidTr="005D60F4">
        <w:trPr>
          <w:trHeight w:val="330"/>
        </w:trPr>
        <w:tc>
          <w:tcPr>
            <w:tcW w:w="0" w:type="auto"/>
            <w:tcBorders>
              <w:top w:val="nil"/>
              <w:left w:val="single" w:sz="8" w:space="0" w:color="BFBFBF"/>
              <w:bottom w:val="single" w:sz="8" w:space="0" w:color="BFBFBF"/>
              <w:right w:val="single" w:sz="8" w:space="0" w:color="BFBFBF"/>
            </w:tcBorders>
            <w:shd w:val="clear" w:color="000000" w:fill="F2F2F2"/>
            <w:noWrap/>
            <w:vAlign w:val="center"/>
            <w:hideMark/>
          </w:tcPr>
          <w:p w14:paraId="47F295D4" w14:textId="77777777" w:rsidR="0019444A" w:rsidRDefault="0019444A" w:rsidP="005D60F4">
            <w:pPr>
              <w:rPr>
                <w:color w:val="000000"/>
              </w:rPr>
            </w:pPr>
            <w:r>
              <w:rPr>
                <w:color w:val="000000"/>
              </w:rPr>
              <w:t xml:space="preserve">Median PA diameter </w:t>
            </w:r>
          </w:p>
          <w:p w14:paraId="406AAEC5" w14:textId="77777777" w:rsidR="0019444A" w:rsidRDefault="0019444A" w:rsidP="005D60F4">
            <w:pPr>
              <w:rPr>
                <w:color w:val="000000"/>
              </w:rPr>
            </w:pPr>
            <w:r>
              <w:rPr>
                <w:color w:val="000000"/>
              </w:rPr>
              <w:t>(IQR)</w:t>
            </w:r>
          </w:p>
        </w:tc>
        <w:tc>
          <w:tcPr>
            <w:tcW w:w="0" w:type="auto"/>
            <w:tcBorders>
              <w:top w:val="nil"/>
              <w:left w:val="nil"/>
              <w:bottom w:val="single" w:sz="8" w:space="0" w:color="BFBFBF"/>
              <w:right w:val="single" w:sz="8" w:space="0" w:color="BFBFBF"/>
            </w:tcBorders>
            <w:shd w:val="clear" w:color="000000" w:fill="F2F2F2"/>
            <w:noWrap/>
            <w:vAlign w:val="center"/>
            <w:hideMark/>
          </w:tcPr>
          <w:p w14:paraId="57BFA3B7" w14:textId="77777777" w:rsidR="0019444A" w:rsidRDefault="0019444A" w:rsidP="005D60F4">
            <w:pPr>
              <w:rPr>
                <w:color w:val="000000"/>
              </w:rPr>
            </w:pPr>
            <w:r>
              <w:rPr>
                <w:color w:val="000000"/>
              </w:rPr>
              <w:t>25.3 (22.5,28.3)</w:t>
            </w:r>
          </w:p>
        </w:tc>
        <w:tc>
          <w:tcPr>
            <w:tcW w:w="0" w:type="auto"/>
            <w:tcBorders>
              <w:top w:val="nil"/>
              <w:left w:val="nil"/>
              <w:bottom w:val="single" w:sz="8" w:space="0" w:color="BFBFBF"/>
              <w:right w:val="single" w:sz="8" w:space="0" w:color="BFBFBF"/>
            </w:tcBorders>
            <w:shd w:val="clear" w:color="000000" w:fill="F2F2F2"/>
            <w:noWrap/>
            <w:vAlign w:val="center"/>
            <w:hideMark/>
          </w:tcPr>
          <w:p w14:paraId="6DF88FC0" w14:textId="77777777" w:rsidR="0019444A" w:rsidRDefault="0019444A" w:rsidP="005D60F4">
            <w:pPr>
              <w:rPr>
                <w:color w:val="000000"/>
              </w:rPr>
            </w:pPr>
            <w:r>
              <w:rPr>
                <w:color w:val="000000"/>
              </w:rPr>
              <w:t>24.3 (21.7,27.0)</w:t>
            </w:r>
          </w:p>
        </w:tc>
        <w:tc>
          <w:tcPr>
            <w:tcW w:w="0" w:type="auto"/>
            <w:tcBorders>
              <w:top w:val="nil"/>
              <w:left w:val="nil"/>
              <w:bottom w:val="single" w:sz="8" w:space="0" w:color="BFBFBF"/>
              <w:right w:val="single" w:sz="8" w:space="0" w:color="BFBFBF"/>
            </w:tcBorders>
            <w:shd w:val="clear" w:color="000000" w:fill="F2F2F2"/>
            <w:noWrap/>
            <w:vAlign w:val="center"/>
            <w:hideMark/>
          </w:tcPr>
          <w:p w14:paraId="73AFA4A5" w14:textId="77777777" w:rsidR="0019444A" w:rsidRDefault="0019444A" w:rsidP="005D60F4">
            <w:pPr>
              <w:rPr>
                <w:color w:val="000000"/>
              </w:rPr>
            </w:pPr>
            <w:r>
              <w:rPr>
                <w:color w:val="000000"/>
              </w:rPr>
              <w:t>25.8 (23.3,28.7)</w:t>
            </w:r>
          </w:p>
        </w:tc>
        <w:tc>
          <w:tcPr>
            <w:tcW w:w="0" w:type="auto"/>
            <w:tcBorders>
              <w:top w:val="nil"/>
              <w:left w:val="nil"/>
              <w:bottom w:val="single" w:sz="8" w:space="0" w:color="BFBFBF"/>
              <w:right w:val="single" w:sz="8" w:space="0" w:color="BFBFBF"/>
            </w:tcBorders>
            <w:shd w:val="clear" w:color="000000" w:fill="F2F2F2"/>
            <w:noWrap/>
            <w:vAlign w:val="center"/>
            <w:hideMark/>
          </w:tcPr>
          <w:p w14:paraId="344C3D5C" w14:textId="77777777" w:rsidR="0019444A" w:rsidRDefault="0019444A" w:rsidP="005D60F4">
            <w:pPr>
              <w:rPr>
                <w:color w:val="000000"/>
              </w:rPr>
            </w:pPr>
            <w:r>
              <w:rPr>
                <w:color w:val="000000"/>
              </w:rPr>
              <w:t>26.7 (23.8,29.9)</w:t>
            </w:r>
          </w:p>
        </w:tc>
      </w:tr>
      <w:tr w:rsidR="0019444A" w14:paraId="0A6F2190" w14:textId="77777777" w:rsidTr="005D60F4">
        <w:trPr>
          <w:trHeight w:val="330"/>
        </w:trPr>
        <w:tc>
          <w:tcPr>
            <w:tcW w:w="0" w:type="auto"/>
            <w:tcBorders>
              <w:top w:val="nil"/>
              <w:left w:val="single" w:sz="8" w:space="0" w:color="BFBFBF"/>
              <w:bottom w:val="single" w:sz="8" w:space="0" w:color="BFBFBF"/>
              <w:right w:val="single" w:sz="8" w:space="0" w:color="BFBFBF"/>
            </w:tcBorders>
            <w:shd w:val="clear" w:color="auto" w:fill="auto"/>
            <w:noWrap/>
            <w:vAlign w:val="center"/>
            <w:hideMark/>
          </w:tcPr>
          <w:p w14:paraId="44707149" w14:textId="77777777" w:rsidR="0019444A" w:rsidRDefault="0019444A" w:rsidP="005D60F4">
            <w:r>
              <w:t xml:space="preserve">Enlarged PAd </w:t>
            </w:r>
          </w:p>
        </w:tc>
        <w:tc>
          <w:tcPr>
            <w:tcW w:w="0" w:type="auto"/>
            <w:tcBorders>
              <w:top w:val="nil"/>
              <w:left w:val="nil"/>
              <w:bottom w:val="single" w:sz="8" w:space="0" w:color="BFBFBF"/>
              <w:right w:val="single" w:sz="8" w:space="0" w:color="BFBFBF"/>
            </w:tcBorders>
            <w:shd w:val="clear" w:color="auto" w:fill="auto"/>
            <w:noWrap/>
            <w:vAlign w:val="center"/>
            <w:hideMark/>
          </w:tcPr>
          <w:p w14:paraId="28B6E6F2" w14:textId="77777777" w:rsidR="0019444A" w:rsidRDefault="0019444A" w:rsidP="005D60F4">
            <w:r>
              <w:t>28.7% (255)</w:t>
            </w:r>
          </w:p>
        </w:tc>
        <w:tc>
          <w:tcPr>
            <w:tcW w:w="0" w:type="auto"/>
            <w:tcBorders>
              <w:top w:val="nil"/>
              <w:left w:val="nil"/>
              <w:bottom w:val="single" w:sz="8" w:space="0" w:color="BFBFBF"/>
              <w:right w:val="single" w:sz="8" w:space="0" w:color="BFBFBF"/>
            </w:tcBorders>
            <w:shd w:val="clear" w:color="auto" w:fill="auto"/>
            <w:noWrap/>
            <w:vAlign w:val="center"/>
            <w:hideMark/>
          </w:tcPr>
          <w:p w14:paraId="0BC69B33" w14:textId="77777777" w:rsidR="0019444A" w:rsidRDefault="0019444A" w:rsidP="005D60F4">
            <w:r>
              <w:t>19.5% (83)</w:t>
            </w:r>
          </w:p>
        </w:tc>
        <w:tc>
          <w:tcPr>
            <w:tcW w:w="0" w:type="auto"/>
            <w:tcBorders>
              <w:top w:val="nil"/>
              <w:left w:val="nil"/>
              <w:bottom w:val="single" w:sz="8" w:space="0" w:color="BFBFBF"/>
              <w:right w:val="single" w:sz="8" w:space="0" w:color="BFBFBF"/>
            </w:tcBorders>
            <w:shd w:val="clear" w:color="auto" w:fill="auto"/>
            <w:noWrap/>
            <w:vAlign w:val="center"/>
            <w:hideMark/>
          </w:tcPr>
          <w:p w14:paraId="5D3C995D" w14:textId="77777777" w:rsidR="0019444A" w:rsidRDefault="0019444A" w:rsidP="005D60F4">
            <w:r>
              <w:t>29.0% (63)</w:t>
            </w:r>
          </w:p>
        </w:tc>
        <w:tc>
          <w:tcPr>
            <w:tcW w:w="0" w:type="auto"/>
            <w:tcBorders>
              <w:top w:val="nil"/>
              <w:left w:val="nil"/>
              <w:bottom w:val="single" w:sz="8" w:space="0" w:color="BFBFBF"/>
              <w:right w:val="single" w:sz="8" w:space="0" w:color="BFBFBF"/>
            </w:tcBorders>
            <w:shd w:val="clear" w:color="auto" w:fill="auto"/>
            <w:noWrap/>
            <w:vAlign w:val="center"/>
            <w:hideMark/>
          </w:tcPr>
          <w:p w14:paraId="78D47A92" w14:textId="77777777" w:rsidR="0019444A" w:rsidRDefault="0019444A" w:rsidP="005D60F4">
            <w:r>
              <w:t>44.1% (109)</w:t>
            </w:r>
          </w:p>
        </w:tc>
      </w:tr>
      <w:tr w:rsidR="0019444A" w14:paraId="7930230D" w14:textId="77777777" w:rsidTr="005D60F4">
        <w:trPr>
          <w:trHeight w:val="645"/>
        </w:trPr>
        <w:tc>
          <w:tcPr>
            <w:tcW w:w="0" w:type="auto"/>
            <w:tcBorders>
              <w:top w:val="nil"/>
              <w:left w:val="single" w:sz="8" w:space="0" w:color="BFBFBF"/>
              <w:bottom w:val="single" w:sz="8" w:space="0" w:color="BFBFBF"/>
              <w:right w:val="single" w:sz="8" w:space="0" w:color="BFBFBF"/>
            </w:tcBorders>
            <w:shd w:val="clear" w:color="000000" w:fill="F2F2F2"/>
            <w:noWrap/>
            <w:vAlign w:val="center"/>
            <w:hideMark/>
          </w:tcPr>
          <w:p w14:paraId="646741CA" w14:textId="77777777" w:rsidR="0019444A" w:rsidRDefault="0019444A" w:rsidP="005D60F4">
            <w:pPr>
              <w:rPr>
                <w:color w:val="000000"/>
              </w:rPr>
            </w:pPr>
            <w:r>
              <w:rPr>
                <w:color w:val="000000"/>
              </w:rPr>
              <w:t>Adjusted Relative Risk* (95% CI)</w:t>
            </w:r>
          </w:p>
        </w:tc>
        <w:tc>
          <w:tcPr>
            <w:tcW w:w="0" w:type="auto"/>
            <w:tcBorders>
              <w:top w:val="nil"/>
              <w:left w:val="single" w:sz="8" w:space="0" w:color="BFBFBF"/>
              <w:bottom w:val="single" w:sz="8" w:space="0" w:color="BFBFBF"/>
              <w:right w:val="single" w:sz="8" w:space="0" w:color="BFBFBF"/>
            </w:tcBorders>
            <w:shd w:val="clear" w:color="000000" w:fill="F2F2F2"/>
            <w:noWrap/>
            <w:vAlign w:val="center"/>
            <w:hideMark/>
          </w:tcPr>
          <w:p w14:paraId="6853D03A" w14:textId="77777777" w:rsidR="0019444A" w:rsidRDefault="0019444A" w:rsidP="005D60F4">
            <w:r>
              <w:t> </w:t>
            </w:r>
          </w:p>
        </w:tc>
        <w:tc>
          <w:tcPr>
            <w:tcW w:w="0" w:type="auto"/>
            <w:tcBorders>
              <w:top w:val="nil"/>
              <w:left w:val="nil"/>
              <w:right w:val="single" w:sz="8" w:space="0" w:color="BFBFBF"/>
            </w:tcBorders>
            <w:shd w:val="clear" w:color="000000" w:fill="F2F2F2"/>
            <w:noWrap/>
            <w:vAlign w:val="center"/>
            <w:hideMark/>
          </w:tcPr>
          <w:p w14:paraId="726825D9" w14:textId="77777777" w:rsidR="0019444A" w:rsidRDefault="0019444A" w:rsidP="005D60F4">
            <w:pPr>
              <w:rPr>
                <w:color w:val="000000"/>
              </w:rPr>
            </w:pPr>
            <w:r>
              <w:rPr>
                <w:color w:val="000000"/>
              </w:rPr>
              <w:t>0.82</w:t>
            </w:r>
          </w:p>
          <w:p w14:paraId="2080DB70" w14:textId="77777777" w:rsidR="0019444A" w:rsidRDefault="0019444A" w:rsidP="005D60F4">
            <w:pPr>
              <w:rPr>
                <w:color w:val="000000"/>
              </w:rPr>
            </w:pPr>
            <w:r>
              <w:rPr>
                <w:color w:val="000000"/>
              </w:rPr>
              <w:t>(0.61 – 1.10)</w:t>
            </w:r>
          </w:p>
        </w:tc>
        <w:tc>
          <w:tcPr>
            <w:tcW w:w="0" w:type="auto"/>
            <w:tcBorders>
              <w:top w:val="nil"/>
              <w:left w:val="single" w:sz="8" w:space="0" w:color="BFBFBF"/>
              <w:bottom w:val="single" w:sz="8" w:space="0" w:color="BFBFBF"/>
              <w:right w:val="single" w:sz="8" w:space="0" w:color="BFBFBF"/>
            </w:tcBorders>
            <w:shd w:val="clear" w:color="000000" w:fill="F2F2F2"/>
            <w:noWrap/>
            <w:vAlign w:val="center"/>
            <w:hideMark/>
          </w:tcPr>
          <w:p w14:paraId="0A6F16DB" w14:textId="77777777" w:rsidR="0019444A" w:rsidRDefault="0019444A" w:rsidP="005D60F4">
            <w:pPr>
              <w:rPr>
                <w:color w:val="000000"/>
              </w:rPr>
            </w:pPr>
            <w:r>
              <w:rPr>
                <w:color w:val="000000"/>
              </w:rPr>
              <w:t>1 (Referent)</w:t>
            </w:r>
          </w:p>
        </w:tc>
        <w:tc>
          <w:tcPr>
            <w:tcW w:w="0" w:type="auto"/>
            <w:tcBorders>
              <w:top w:val="nil"/>
              <w:left w:val="nil"/>
              <w:right w:val="single" w:sz="8" w:space="0" w:color="BFBFBF"/>
            </w:tcBorders>
            <w:shd w:val="clear" w:color="000000" w:fill="F2F2F2"/>
            <w:noWrap/>
            <w:vAlign w:val="center"/>
            <w:hideMark/>
          </w:tcPr>
          <w:p w14:paraId="62CC87C1" w14:textId="77777777" w:rsidR="0019444A" w:rsidRDefault="0019444A" w:rsidP="005D60F4">
            <w:pPr>
              <w:rPr>
                <w:color w:val="000000"/>
              </w:rPr>
            </w:pPr>
            <w:r>
              <w:rPr>
                <w:color w:val="000000"/>
              </w:rPr>
              <w:t>1.58</w:t>
            </w:r>
          </w:p>
          <w:p w14:paraId="5B80D9CB" w14:textId="77777777" w:rsidR="0019444A" w:rsidRDefault="0019444A" w:rsidP="005D60F4">
            <w:pPr>
              <w:rPr>
                <w:color w:val="000000"/>
              </w:rPr>
            </w:pPr>
            <w:r>
              <w:rPr>
                <w:color w:val="000000"/>
              </w:rPr>
              <w:t>(1.22-2.05)</w:t>
            </w:r>
          </w:p>
        </w:tc>
      </w:tr>
      <w:tr w:rsidR="0019444A" w14:paraId="7138E85D" w14:textId="77777777" w:rsidTr="005D60F4">
        <w:trPr>
          <w:trHeight w:val="330"/>
        </w:trPr>
        <w:tc>
          <w:tcPr>
            <w:tcW w:w="0" w:type="auto"/>
            <w:gridSpan w:val="5"/>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46BD8F8D" w14:textId="77777777" w:rsidR="0019444A" w:rsidRDefault="0019444A" w:rsidP="005D60F4">
            <w:pPr>
              <w:rPr>
                <w:b/>
                <w:bCs/>
              </w:rPr>
            </w:pPr>
            <w:proofErr w:type="gramStart"/>
            <w:r>
              <w:rPr>
                <w:b/>
                <w:bCs/>
              </w:rPr>
              <w:t>PA:AA</w:t>
            </w:r>
            <w:proofErr w:type="gramEnd"/>
            <w:r>
              <w:rPr>
                <w:b/>
                <w:bCs/>
              </w:rPr>
              <w:t xml:space="preserve"> Ratio</w:t>
            </w:r>
          </w:p>
        </w:tc>
      </w:tr>
      <w:tr w:rsidR="0019444A" w14:paraId="1F42ED15" w14:textId="77777777" w:rsidTr="005D60F4">
        <w:trPr>
          <w:trHeight w:val="330"/>
        </w:trPr>
        <w:tc>
          <w:tcPr>
            <w:tcW w:w="0" w:type="auto"/>
            <w:tcBorders>
              <w:top w:val="nil"/>
              <w:left w:val="single" w:sz="8" w:space="0" w:color="BFBFBF"/>
              <w:bottom w:val="single" w:sz="8" w:space="0" w:color="BFBFBF"/>
              <w:right w:val="single" w:sz="8" w:space="0" w:color="BFBFBF"/>
            </w:tcBorders>
            <w:shd w:val="clear" w:color="000000" w:fill="F2F2F2"/>
            <w:noWrap/>
            <w:vAlign w:val="center"/>
            <w:hideMark/>
          </w:tcPr>
          <w:p w14:paraId="2F373751" w14:textId="081E3BB0" w:rsidR="0019444A" w:rsidRDefault="0019444A" w:rsidP="005D60F4">
            <w:pPr>
              <w:rPr>
                <w:color w:val="000000"/>
              </w:rPr>
            </w:pPr>
            <w:r>
              <w:rPr>
                <w:color w:val="000000"/>
              </w:rPr>
              <w:t xml:space="preserve">Median </w:t>
            </w:r>
            <w:proofErr w:type="gramStart"/>
            <w:r>
              <w:rPr>
                <w:color w:val="000000"/>
              </w:rPr>
              <w:t>PA:AA</w:t>
            </w:r>
            <w:proofErr w:type="gramEnd"/>
            <w:r>
              <w:rPr>
                <w:color w:val="000000"/>
              </w:rPr>
              <w:t xml:space="preserve"> </w:t>
            </w:r>
            <w:r w:rsidR="00700EE1">
              <w:rPr>
                <w:color w:val="000000"/>
              </w:rPr>
              <w:t>Ratio</w:t>
            </w:r>
          </w:p>
          <w:p w14:paraId="7451D7E5" w14:textId="77777777" w:rsidR="0019444A" w:rsidRDefault="0019444A" w:rsidP="005D60F4">
            <w:pPr>
              <w:rPr>
                <w:color w:val="000000"/>
              </w:rPr>
            </w:pPr>
            <w:r>
              <w:rPr>
                <w:color w:val="000000"/>
              </w:rPr>
              <w:t>(IQR)</w:t>
            </w:r>
          </w:p>
        </w:tc>
        <w:tc>
          <w:tcPr>
            <w:tcW w:w="0" w:type="auto"/>
            <w:tcBorders>
              <w:top w:val="nil"/>
              <w:left w:val="nil"/>
              <w:bottom w:val="single" w:sz="8" w:space="0" w:color="BFBFBF"/>
              <w:right w:val="single" w:sz="8" w:space="0" w:color="BFBFBF"/>
            </w:tcBorders>
            <w:shd w:val="clear" w:color="000000" w:fill="F2F2F2"/>
            <w:noWrap/>
            <w:vAlign w:val="center"/>
            <w:hideMark/>
          </w:tcPr>
          <w:p w14:paraId="02D4523F" w14:textId="77777777" w:rsidR="0019444A" w:rsidRDefault="0019444A" w:rsidP="005D60F4">
            <w:pPr>
              <w:rPr>
                <w:color w:val="000000"/>
              </w:rPr>
            </w:pPr>
            <w:r>
              <w:rPr>
                <w:color w:val="000000"/>
              </w:rPr>
              <w:t>0.85 (0.76,0.93)</w:t>
            </w:r>
          </w:p>
        </w:tc>
        <w:tc>
          <w:tcPr>
            <w:tcW w:w="0" w:type="auto"/>
            <w:tcBorders>
              <w:top w:val="nil"/>
              <w:left w:val="nil"/>
              <w:bottom w:val="single" w:sz="8" w:space="0" w:color="BFBFBF"/>
              <w:right w:val="single" w:sz="8" w:space="0" w:color="BFBFBF"/>
            </w:tcBorders>
            <w:shd w:val="clear" w:color="000000" w:fill="F2F2F2"/>
            <w:noWrap/>
            <w:vAlign w:val="center"/>
            <w:hideMark/>
          </w:tcPr>
          <w:p w14:paraId="2663FDA6" w14:textId="77777777" w:rsidR="0019444A" w:rsidRDefault="0019444A" w:rsidP="005D60F4">
            <w:pPr>
              <w:rPr>
                <w:color w:val="000000"/>
              </w:rPr>
            </w:pPr>
            <w:r>
              <w:rPr>
                <w:color w:val="000000"/>
              </w:rPr>
              <w:t>0.88 (0.81,0.97)</w:t>
            </w:r>
          </w:p>
        </w:tc>
        <w:tc>
          <w:tcPr>
            <w:tcW w:w="0" w:type="auto"/>
            <w:tcBorders>
              <w:top w:val="nil"/>
              <w:left w:val="nil"/>
              <w:bottom w:val="single" w:sz="8" w:space="0" w:color="BFBFBF"/>
              <w:right w:val="single" w:sz="8" w:space="0" w:color="BFBFBF"/>
            </w:tcBorders>
            <w:shd w:val="clear" w:color="000000" w:fill="F2F2F2"/>
            <w:noWrap/>
            <w:vAlign w:val="center"/>
            <w:hideMark/>
          </w:tcPr>
          <w:p w14:paraId="65069D13" w14:textId="77777777" w:rsidR="0019444A" w:rsidRDefault="0019444A" w:rsidP="005D60F4">
            <w:pPr>
              <w:rPr>
                <w:color w:val="000000"/>
              </w:rPr>
            </w:pPr>
            <w:r>
              <w:rPr>
                <w:color w:val="000000"/>
              </w:rPr>
              <w:t>0.80 (0.74,0.90)</w:t>
            </w:r>
          </w:p>
        </w:tc>
        <w:tc>
          <w:tcPr>
            <w:tcW w:w="0" w:type="auto"/>
            <w:tcBorders>
              <w:top w:val="nil"/>
              <w:left w:val="nil"/>
              <w:bottom w:val="single" w:sz="8" w:space="0" w:color="BFBFBF"/>
              <w:right w:val="single" w:sz="8" w:space="0" w:color="BFBFBF"/>
            </w:tcBorders>
            <w:shd w:val="clear" w:color="000000" w:fill="F2F2F2"/>
            <w:noWrap/>
            <w:vAlign w:val="center"/>
            <w:hideMark/>
          </w:tcPr>
          <w:p w14:paraId="49C4D597" w14:textId="77777777" w:rsidR="0019444A" w:rsidRDefault="0019444A" w:rsidP="005D60F4">
            <w:pPr>
              <w:rPr>
                <w:color w:val="000000"/>
              </w:rPr>
            </w:pPr>
            <w:r>
              <w:rPr>
                <w:color w:val="000000"/>
              </w:rPr>
              <w:t>0.80 (0.72,0.90)</w:t>
            </w:r>
          </w:p>
        </w:tc>
      </w:tr>
      <w:tr w:rsidR="0019444A" w14:paraId="12234077" w14:textId="77777777" w:rsidTr="005D60F4">
        <w:trPr>
          <w:trHeight w:val="330"/>
        </w:trPr>
        <w:tc>
          <w:tcPr>
            <w:tcW w:w="0" w:type="auto"/>
            <w:tcBorders>
              <w:top w:val="nil"/>
              <w:left w:val="single" w:sz="8" w:space="0" w:color="BFBFBF"/>
              <w:bottom w:val="single" w:sz="8" w:space="0" w:color="BFBFBF"/>
              <w:right w:val="single" w:sz="8" w:space="0" w:color="BFBFBF"/>
            </w:tcBorders>
            <w:shd w:val="clear" w:color="auto" w:fill="auto"/>
            <w:noWrap/>
            <w:vAlign w:val="center"/>
            <w:hideMark/>
          </w:tcPr>
          <w:p w14:paraId="658DEF55" w14:textId="77777777" w:rsidR="0019444A" w:rsidRDefault="0019444A" w:rsidP="005D60F4">
            <w:r>
              <w:t xml:space="preserve">Increased </w:t>
            </w:r>
            <w:proofErr w:type="gramStart"/>
            <w:r>
              <w:t>PA:AA</w:t>
            </w:r>
            <w:proofErr w:type="gramEnd"/>
            <w:r>
              <w:t xml:space="preserve"> </w:t>
            </w:r>
          </w:p>
        </w:tc>
        <w:tc>
          <w:tcPr>
            <w:tcW w:w="0" w:type="auto"/>
            <w:tcBorders>
              <w:top w:val="nil"/>
              <w:left w:val="nil"/>
              <w:bottom w:val="single" w:sz="8" w:space="0" w:color="BFBFBF"/>
              <w:right w:val="single" w:sz="8" w:space="0" w:color="BFBFBF"/>
            </w:tcBorders>
            <w:shd w:val="clear" w:color="auto" w:fill="auto"/>
            <w:noWrap/>
            <w:vAlign w:val="center"/>
            <w:hideMark/>
          </w:tcPr>
          <w:p w14:paraId="11236C45" w14:textId="77777777" w:rsidR="0019444A" w:rsidRDefault="0019444A" w:rsidP="005D60F4">
            <w:r>
              <w:t>34.3% (305)</w:t>
            </w:r>
          </w:p>
        </w:tc>
        <w:tc>
          <w:tcPr>
            <w:tcW w:w="0" w:type="auto"/>
            <w:tcBorders>
              <w:top w:val="nil"/>
              <w:left w:val="nil"/>
              <w:bottom w:val="single" w:sz="8" w:space="0" w:color="BFBFBF"/>
              <w:right w:val="single" w:sz="8" w:space="0" w:color="BFBFBF"/>
            </w:tcBorders>
            <w:shd w:val="clear" w:color="auto" w:fill="auto"/>
            <w:noWrap/>
            <w:vAlign w:val="center"/>
            <w:hideMark/>
          </w:tcPr>
          <w:p w14:paraId="16FD451F" w14:textId="77777777" w:rsidR="0019444A" w:rsidRDefault="0019444A" w:rsidP="005D60F4">
            <w:r>
              <w:t>44.0% (187)</w:t>
            </w:r>
          </w:p>
        </w:tc>
        <w:tc>
          <w:tcPr>
            <w:tcW w:w="0" w:type="auto"/>
            <w:tcBorders>
              <w:top w:val="nil"/>
              <w:left w:val="nil"/>
              <w:bottom w:val="single" w:sz="8" w:space="0" w:color="BFBFBF"/>
              <w:right w:val="single" w:sz="8" w:space="0" w:color="BFBFBF"/>
            </w:tcBorders>
            <w:shd w:val="clear" w:color="auto" w:fill="auto"/>
            <w:noWrap/>
            <w:vAlign w:val="center"/>
            <w:hideMark/>
          </w:tcPr>
          <w:p w14:paraId="0D5176A1" w14:textId="77777777" w:rsidR="0019444A" w:rsidRDefault="0019444A" w:rsidP="005D60F4">
            <w:r>
              <w:t>25.8% (56)</w:t>
            </w:r>
          </w:p>
        </w:tc>
        <w:tc>
          <w:tcPr>
            <w:tcW w:w="0" w:type="auto"/>
            <w:tcBorders>
              <w:top w:val="nil"/>
              <w:left w:val="nil"/>
              <w:bottom w:val="single" w:sz="8" w:space="0" w:color="BFBFBF"/>
              <w:right w:val="single" w:sz="8" w:space="0" w:color="BFBFBF"/>
            </w:tcBorders>
            <w:shd w:val="clear" w:color="auto" w:fill="auto"/>
            <w:noWrap/>
            <w:vAlign w:val="center"/>
            <w:hideMark/>
          </w:tcPr>
          <w:p w14:paraId="0940B317" w14:textId="77777777" w:rsidR="0019444A" w:rsidRDefault="0019444A" w:rsidP="005D60F4">
            <w:r>
              <w:t>25.1% (62)</w:t>
            </w:r>
          </w:p>
        </w:tc>
      </w:tr>
      <w:tr w:rsidR="0019444A" w14:paraId="231CC0BA" w14:textId="77777777" w:rsidTr="005D60F4">
        <w:trPr>
          <w:trHeight w:val="645"/>
        </w:trPr>
        <w:tc>
          <w:tcPr>
            <w:tcW w:w="0" w:type="auto"/>
            <w:tcBorders>
              <w:top w:val="nil"/>
              <w:left w:val="single" w:sz="8" w:space="0" w:color="BFBFBF"/>
              <w:bottom w:val="single" w:sz="8" w:space="0" w:color="BFBFBF"/>
              <w:right w:val="single" w:sz="8" w:space="0" w:color="BFBFBF"/>
            </w:tcBorders>
            <w:shd w:val="clear" w:color="000000" w:fill="F2F2F2"/>
            <w:noWrap/>
            <w:vAlign w:val="center"/>
            <w:hideMark/>
          </w:tcPr>
          <w:p w14:paraId="6D6CD72A" w14:textId="77777777" w:rsidR="0019444A" w:rsidRDefault="0019444A" w:rsidP="005D60F4">
            <w:pPr>
              <w:rPr>
                <w:color w:val="000000"/>
              </w:rPr>
            </w:pPr>
            <w:r>
              <w:rPr>
                <w:color w:val="000000"/>
              </w:rPr>
              <w:t>Adjusted Relative Risk* (95% CI)</w:t>
            </w:r>
          </w:p>
        </w:tc>
        <w:tc>
          <w:tcPr>
            <w:tcW w:w="0" w:type="auto"/>
            <w:tcBorders>
              <w:top w:val="nil"/>
              <w:left w:val="single" w:sz="8" w:space="0" w:color="BFBFBF"/>
              <w:bottom w:val="single" w:sz="8" w:space="0" w:color="BFBFBF"/>
              <w:right w:val="single" w:sz="8" w:space="0" w:color="BFBFBF"/>
            </w:tcBorders>
            <w:shd w:val="clear" w:color="000000" w:fill="F2F2F2"/>
            <w:noWrap/>
            <w:vAlign w:val="center"/>
            <w:hideMark/>
          </w:tcPr>
          <w:p w14:paraId="03876078" w14:textId="77777777" w:rsidR="0019444A" w:rsidRDefault="0019444A" w:rsidP="005D60F4">
            <w:r>
              <w:t> </w:t>
            </w:r>
          </w:p>
        </w:tc>
        <w:tc>
          <w:tcPr>
            <w:tcW w:w="0" w:type="auto"/>
            <w:tcBorders>
              <w:top w:val="nil"/>
              <w:left w:val="nil"/>
              <w:right w:val="single" w:sz="8" w:space="0" w:color="BFBFBF"/>
            </w:tcBorders>
            <w:shd w:val="clear" w:color="000000" w:fill="F2F2F2"/>
            <w:noWrap/>
            <w:vAlign w:val="center"/>
            <w:hideMark/>
          </w:tcPr>
          <w:p w14:paraId="7B8C98F5" w14:textId="77777777" w:rsidR="0019444A" w:rsidRDefault="0019444A" w:rsidP="005D60F4">
            <w:pPr>
              <w:rPr>
                <w:color w:val="000000"/>
              </w:rPr>
            </w:pPr>
            <w:r>
              <w:rPr>
                <w:color w:val="000000"/>
              </w:rPr>
              <w:t>1.78</w:t>
            </w:r>
          </w:p>
          <w:p w14:paraId="5BD4E623" w14:textId="77777777" w:rsidR="0019444A" w:rsidRDefault="0019444A" w:rsidP="005D60F4">
            <w:pPr>
              <w:rPr>
                <w:color w:val="000000"/>
              </w:rPr>
            </w:pPr>
            <w:r>
              <w:rPr>
                <w:color w:val="000000"/>
              </w:rPr>
              <w:t>(1.37 – 2.31)</w:t>
            </w:r>
          </w:p>
        </w:tc>
        <w:tc>
          <w:tcPr>
            <w:tcW w:w="0" w:type="auto"/>
            <w:tcBorders>
              <w:top w:val="nil"/>
              <w:left w:val="single" w:sz="8" w:space="0" w:color="BFBFBF"/>
              <w:bottom w:val="single" w:sz="8" w:space="0" w:color="BFBFBF"/>
              <w:right w:val="single" w:sz="8" w:space="0" w:color="BFBFBF"/>
            </w:tcBorders>
            <w:shd w:val="clear" w:color="000000" w:fill="F2F2F2"/>
            <w:noWrap/>
            <w:vAlign w:val="center"/>
            <w:hideMark/>
          </w:tcPr>
          <w:p w14:paraId="118DC5BA" w14:textId="77777777" w:rsidR="0019444A" w:rsidRDefault="0019444A" w:rsidP="005D60F4">
            <w:pPr>
              <w:rPr>
                <w:color w:val="000000"/>
              </w:rPr>
            </w:pPr>
            <w:r>
              <w:rPr>
                <w:color w:val="000000"/>
              </w:rPr>
              <w:t>1 (Referent)</w:t>
            </w:r>
          </w:p>
        </w:tc>
        <w:tc>
          <w:tcPr>
            <w:tcW w:w="0" w:type="auto"/>
            <w:tcBorders>
              <w:top w:val="nil"/>
              <w:left w:val="nil"/>
              <w:right w:val="single" w:sz="8" w:space="0" w:color="BFBFBF"/>
            </w:tcBorders>
            <w:shd w:val="clear" w:color="000000" w:fill="F2F2F2"/>
            <w:noWrap/>
            <w:vAlign w:val="center"/>
            <w:hideMark/>
          </w:tcPr>
          <w:p w14:paraId="06E73176" w14:textId="77777777" w:rsidR="0019444A" w:rsidRDefault="0019444A" w:rsidP="005D60F4">
            <w:pPr>
              <w:rPr>
                <w:color w:val="000000"/>
              </w:rPr>
            </w:pPr>
            <w:r>
              <w:rPr>
                <w:color w:val="000000"/>
              </w:rPr>
              <w:t>0.97</w:t>
            </w:r>
          </w:p>
          <w:p w14:paraId="6E613AE1" w14:textId="77777777" w:rsidR="0019444A" w:rsidRDefault="0019444A" w:rsidP="005D60F4">
            <w:pPr>
              <w:rPr>
                <w:color w:val="000000"/>
              </w:rPr>
            </w:pPr>
            <w:r>
              <w:rPr>
                <w:color w:val="000000"/>
              </w:rPr>
              <w:t>(0.70 – 1.34)</w:t>
            </w:r>
          </w:p>
        </w:tc>
      </w:tr>
    </w:tbl>
    <w:p w14:paraId="211A6422" w14:textId="6C04ECBC" w:rsidR="0019444A" w:rsidRDefault="0019444A" w:rsidP="0019444A">
      <w:pPr>
        <w:spacing w:before="240" w:line="480" w:lineRule="auto"/>
        <w:ind w:firstLine="720"/>
        <w:rPr>
          <w:rFonts w:ascii="Times" w:hAnsi="Times"/>
        </w:rPr>
      </w:pPr>
      <w:r>
        <w:rPr>
          <w:rFonts w:ascii="Times" w:hAnsi="Times"/>
        </w:rPr>
        <w:t xml:space="preserve">*Poisson regression controlling for age category, gender, body mass index, and comorbidities (pulmonary disease, congestive heart disease, pulmonary vascular disease, hypertension, diabetes, peripheral vascular disease, kidney disease). CI = confidence interval). Enlarged PA diameter: 27+mm in women, 29+mm in men. Enlarged </w:t>
      </w:r>
      <w:proofErr w:type="gramStart"/>
      <w:r>
        <w:rPr>
          <w:rFonts w:ascii="Times" w:hAnsi="Times"/>
        </w:rPr>
        <w:t>PA:AA</w:t>
      </w:r>
      <w:proofErr w:type="gramEnd"/>
      <w:r>
        <w:rPr>
          <w:rFonts w:ascii="Times" w:hAnsi="Times"/>
        </w:rPr>
        <w:t xml:space="preserve"> is 0.9+</w:t>
      </w:r>
    </w:p>
    <w:p w14:paraId="7D485FB8" w14:textId="149C8FCC" w:rsidR="00E738AD" w:rsidRDefault="00E738AD">
      <w:pPr>
        <w:rPr>
          <w:rFonts w:ascii="Times" w:eastAsiaTheme="majorEastAsia" w:hAnsi="Times" w:cstheme="majorBidi"/>
          <w:color w:val="000000" w:themeColor="text1"/>
          <w:szCs w:val="26"/>
          <w:u w:val="single"/>
        </w:rPr>
      </w:pPr>
      <w:r>
        <w:br w:type="page"/>
      </w:r>
    </w:p>
    <w:p w14:paraId="2D654C71" w14:textId="60E7A1DE" w:rsidR="00192DC8" w:rsidRPr="0041207B" w:rsidRDefault="00192DC8" w:rsidP="00D17729">
      <w:pPr>
        <w:spacing w:line="480" w:lineRule="auto"/>
        <w:rPr>
          <w:bCs/>
          <w:u w:val="single"/>
        </w:rPr>
      </w:pPr>
      <w:r w:rsidRPr="0041207B">
        <w:rPr>
          <w:bCs/>
          <w:u w:val="single"/>
        </w:rPr>
        <w:lastRenderedPageBreak/>
        <w:t>Figure 1</w:t>
      </w:r>
    </w:p>
    <w:tbl>
      <w:tblPr>
        <w:tblStyle w:val="TableGrid"/>
        <w:tblW w:w="0" w:type="auto"/>
        <w:tblLook w:val="04A0" w:firstRow="1" w:lastRow="0" w:firstColumn="1" w:lastColumn="0" w:noHBand="0" w:noVBand="1"/>
      </w:tblPr>
      <w:tblGrid>
        <w:gridCol w:w="4700"/>
        <w:gridCol w:w="4650"/>
      </w:tblGrid>
      <w:tr w:rsidR="00E84E07" w14:paraId="47BBEBF5" w14:textId="77777777" w:rsidTr="008A5B37">
        <w:tc>
          <w:tcPr>
            <w:tcW w:w="4675" w:type="dxa"/>
          </w:tcPr>
          <w:p w14:paraId="18414B21" w14:textId="52422D3B" w:rsidR="008A5B37" w:rsidRDefault="00E84E07" w:rsidP="00D17729">
            <w:pPr>
              <w:spacing w:line="480" w:lineRule="auto"/>
            </w:pPr>
            <w:r w:rsidRPr="00E84E07">
              <w:drawing>
                <wp:inline distT="0" distB="0" distL="0" distR="0" wp14:anchorId="4FCE0015" wp14:editId="65187E4F">
                  <wp:extent cx="2903707" cy="1935805"/>
                  <wp:effectExtent l="0" t="0" r="5080" b="0"/>
                  <wp:docPr id="112798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80005" name=""/>
                          <pic:cNvPicPr/>
                        </pic:nvPicPr>
                        <pic:blipFill>
                          <a:blip r:embed="rId15"/>
                          <a:stretch>
                            <a:fillRect/>
                          </a:stretch>
                        </pic:blipFill>
                        <pic:spPr>
                          <a:xfrm>
                            <a:off x="0" y="0"/>
                            <a:ext cx="2942570" cy="1961713"/>
                          </a:xfrm>
                          <a:prstGeom prst="rect">
                            <a:avLst/>
                          </a:prstGeom>
                        </pic:spPr>
                      </pic:pic>
                    </a:graphicData>
                  </a:graphic>
                </wp:inline>
              </w:drawing>
            </w:r>
          </w:p>
        </w:tc>
        <w:tc>
          <w:tcPr>
            <w:tcW w:w="4675" w:type="dxa"/>
          </w:tcPr>
          <w:p w14:paraId="1BEBFFAA" w14:textId="3BBDAE8A" w:rsidR="008A5B37" w:rsidRDefault="00E84E07" w:rsidP="00D17729">
            <w:pPr>
              <w:spacing w:line="480" w:lineRule="auto"/>
            </w:pPr>
            <w:r w:rsidRPr="00E84E07">
              <w:drawing>
                <wp:inline distT="0" distB="0" distL="0" distR="0" wp14:anchorId="76DDA791" wp14:editId="27F07222">
                  <wp:extent cx="2875415" cy="1916943"/>
                  <wp:effectExtent l="0" t="0" r="0" b="1270"/>
                  <wp:docPr id="196462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28881" name=""/>
                          <pic:cNvPicPr/>
                        </pic:nvPicPr>
                        <pic:blipFill>
                          <a:blip r:embed="rId16"/>
                          <a:stretch>
                            <a:fillRect/>
                          </a:stretch>
                        </pic:blipFill>
                        <pic:spPr>
                          <a:xfrm>
                            <a:off x="0" y="0"/>
                            <a:ext cx="2911300" cy="1940866"/>
                          </a:xfrm>
                          <a:prstGeom prst="rect">
                            <a:avLst/>
                          </a:prstGeom>
                        </pic:spPr>
                      </pic:pic>
                    </a:graphicData>
                  </a:graphic>
                </wp:inline>
              </w:drawing>
            </w:r>
          </w:p>
        </w:tc>
      </w:tr>
    </w:tbl>
    <w:p w14:paraId="267373E5" w14:textId="77777777" w:rsidR="00192DC8" w:rsidRDefault="00192DC8" w:rsidP="00D17729">
      <w:pPr>
        <w:spacing w:line="480" w:lineRule="auto"/>
      </w:pPr>
    </w:p>
    <w:p w14:paraId="3631E525" w14:textId="3BC0F315" w:rsidR="00192DC8" w:rsidRDefault="00B06342" w:rsidP="00D17729">
      <w:pPr>
        <w:spacing w:line="480" w:lineRule="auto"/>
      </w:pPr>
      <w:r>
        <w:t xml:space="preserve">The dose response relationship between PA size and hazard of death, as modeled by restricted cubic splines with 4 knots. </w:t>
      </w:r>
    </w:p>
    <w:p w14:paraId="333084D3" w14:textId="6573B608" w:rsidR="00192DC8" w:rsidRDefault="00192DC8" w:rsidP="00D17729">
      <w:pPr>
        <w:spacing w:line="480" w:lineRule="auto"/>
      </w:pPr>
    </w:p>
    <w:p w14:paraId="6334B9CE" w14:textId="2876C800" w:rsidR="00D13E20" w:rsidRPr="00D13E20" w:rsidRDefault="00D13E20" w:rsidP="00D17729">
      <w:pPr>
        <w:spacing w:line="480" w:lineRule="auto"/>
        <w:rPr>
          <w:u w:val="single"/>
        </w:rPr>
      </w:pPr>
      <w:r w:rsidRPr="00D13E20">
        <w:rPr>
          <w:u w:val="single"/>
        </w:rPr>
        <w:t>Figure 2:</w:t>
      </w:r>
      <w:r>
        <w:rPr>
          <w:u w:val="single"/>
        </w:rPr>
        <w:t xml:space="preserve"> Unadjusted PA Size by Age Strata</w:t>
      </w:r>
      <w:r w:rsidRPr="00D13E20">
        <w:rPr>
          <w:u w:val="single"/>
        </w:rPr>
        <w:t xml:space="preserve"> </w:t>
      </w:r>
    </w:p>
    <w:tbl>
      <w:tblPr>
        <w:tblStyle w:val="TableGrid"/>
        <w:tblW w:w="0" w:type="auto"/>
        <w:tblLook w:val="04A0" w:firstRow="1" w:lastRow="0" w:firstColumn="1" w:lastColumn="0" w:noHBand="0" w:noVBand="1"/>
      </w:tblPr>
      <w:tblGrid>
        <w:gridCol w:w="4569"/>
        <w:gridCol w:w="4781"/>
      </w:tblGrid>
      <w:tr w:rsidR="00D13E20" w14:paraId="13385ACC" w14:textId="77777777" w:rsidTr="00D13E20">
        <w:tc>
          <w:tcPr>
            <w:tcW w:w="4675" w:type="dxa"/>
          </w:tcPr>
          <w:p w14:paraId="02518F87" w14:textId="6E9F885B" w:rsidR="00D13E20" w:rsidRDefault="00D13E20" w:rsidP="00D17729">
            <w:pPr>
              <w:spacing w:line="480" w:lineRule="auto"/>
            </w:pPr>
            <w:r>
              <w:rPr>
                <w:noProof/>
              </w:rPr>
              <w:drawing>
                <wp:inline distT="0" distB="0" distL="0" distR="0" wp14:anchorId="793EFE4C" wp14:editId="27382163">
                  <wp:extent cx="2740565" cy="1828800"/>
                  <wp:effectExtent l="0" t="0" r="3175" b="0"/>
                  <wp:docPr id="128805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57757" name="Picture 12880577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014" cy="1860463"/>
                          </a:xfrm>
                          <a:prstGeom prst="rect">
                            <a:avLst/>
                          </a:prstGeom>
                        </pic:spPr>
                      </pic:pic>
                    </a:graphicData>
                  </a:graphic>
                </wp:inline>
              </w:drawing>
            </w:r>
          </w:p>
        </w:tc>
        <w:tc>
          <w:tcPr>
            <w:tcW w:w="4675" w:type="dxa"/>
          </w:tcPr>
          <w:p w14:paraId="0DFBE2CC" w14:textId="2E0819B0" w:rsidR="00D13E20" w:rsidRDefault="00D13E20" w:rsidP="00D17729">
            <w:pPr>
              <w:spacing w:line="480" w:lineRule="auto"/>
            </w:pPr>
            <w:r>
              <w:rPr>
                <w:noProof/>
              </w:rPr>
              <w:drawing>
                <wp:inline distT="0" distB="0" distL="0" distR="0" wp14:anchorId="07CE2EDC" wp14:editId="6610A288">
                  <wp:extent cx="2898843" cy="1934420"/>
                  <wp:effectExtent l="0" t="0" r="0" b="0"/>
                  <wp:docPr id="1757316218" name="Picture 2" descr="A graph of a number of age str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16218" name="Picture 2" descr="A graph of a number of age strat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9270" cy="1968071"/>
                          </a:xfrm>
                          <a:prstGeom prst="rect">
                            <a:avLst/>
                          </a:prstGeom>
                        </pic:spPr>
                      </pic:pic>
                    </a:graphicData>
                  </a:graphic>
                </wp:inline>
              </w:drawing>
            </w:r>
          </w:p>
        </w:tc>
      </w:tr>
    </w:tbl>
    <w:p w14:paraId="6891062A" w14:textId="77777777" w:rsidR="00D13E20" w:rsidRDefault="00D13E20" w:rsidP="00D17729">
      <w:pPr>
        <w:spacing w:line="480" w:lineRule="auto"/>
      </w:pPr>
    </w:p>
    <w:p w14:paraId="5767C027" w14:textId="77777777" w:rsidR="00D13E20" w:rsidRDefault="00D13E20">
      <w:r>
        <w:br w:type="page"/>
      </w:r>
    </w:p>
    <w:p w14:paraId="40E734CC" w14:textId="01709744" w:rsidR="00D13E20" w:rsidRDefault="00D13E20" w:rsidP="00D17729">
      <w:pPr>
        <w:spacing w:line="480" w:lineRule="auto"/>
      </w:pPr>
      <w:r>
        <w:lastRenderedPageBreak/>
        <w:t>Figure 3: Size of PA, AA, and Ratio by Age</w:t>
      </w:r>
    </w:p>
    <w:tbl>
      <w:tblPr>
        <w:tblStyle w:val="TableGrid"/>
        <w:tblW w:w="0" w:type="auto"/>
        <w:tblLook w:val="04A0" w:firstRow="1" w:lastRow="0" w:firstColumn="1" w:lastColumn="0" w:noHBand="0" w:noVBand="1"/>
      </w:tblPr>
      <w:tblGrid>
        <w:gridCol w:w="9350"/>
      </w:tblGrid>
      <w:tr w:rsidR="00D13E20" w14:paraId="5F90CF16" w14:textId="77777777" w:rsidTr="00D13E20">
        <w:tc>
          <w:tcPr>
            <w:tcW w:w="9076" w:type="dxa"/>
          </w:tcPr>
          <w:p w14:paraId="2C0E6E63" w14:textId="59EB6C61" w:rsidR="00D13E20" w:rsidRDefault="00D13E20" w:rsidP="00D17729">
            <w:pPr>
              <w:spacing w:line="480" w:lineRule="auto"/>
            </w:pPr>
            <w:r>
              <w:rPr>
                <w:noProof/>
              </w:rPr>
              <w:drawing>
                <wp:inline distT="0" distB="0" distL="0" distR="0" wp14:anchorId="37A99A35" wp14:editId="6E799681">
                  <wp:extent cx="5943600" cy="1977390"/>
                  <wp:effectExtent l="0" t="0" r="0" b="3810"/>
                  <wp:docPr id="1917265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65152" name="Picture 1917265152"/>
                          <pic:cNvPicPr/>
                        </pic:nvPicPr>
                        <pic:blipFill>
                          <a:blip r:embed="rId19">
                            <a:extLst>
                              <a:ext uri="{28A0092B-C50C-407E-A947-70E740481C1C}">
                                <a14:useLocalDpi xmlns:a14="http://schemas.microsoft.com/office/drawing/2010/main" val="0"/>
                              </a:ext>
                            </a:extLst>
                          </a:blip>
                          <a:stretch>
                            <a:fillRect/>
                          </a:stretch>
                        </pic:blipFill>
                        <pic:spPr>
                          <a:xfrm>
                            <a:off x="0" y="0"/>
                            <a:ext cx="5943600" cy="1977390"/>
                          </a:xfrm>
                          <a:prstGeom prst="rect">
                            <a:avLst/>
                          </a:prstGeom>
                        </pic:spPr>
                      </pic:pic>
                    </a:graphicData>
                  </a:graphic>
                </wp:inline>
              </w:drawing>
            </w:r>
          </w:p>
        </w:tc>
      </w:tr>
    </w:tbl>
    <w:p w14:paraId="13580240" w14:textId="77777777" w:rsidR="00C705E0" w:rsidRDefault="00C705E0" w:rsidP="00D17729">
      <w:pPr>
        <w:spacing w:line="480" w:lineRule="auto"/>
      </w:pPr>
    </w:p>
    <w:p w14:paraId="514CCD07" w14:textId="12EC701E" w:rsidR="00264B68" w:rsidRDefault="00AC5A1E" w:rsidP="0005458F">
      <w:pPr>
        <w:spacing w:line="480" w:lineRule="auto"/>
        <w:rPr>
          <w:u w:val="single"/>
        </w:rPr>
      </w:pPr>
      <w:r w:rsidRPr="00264B68">
        <w:rPr>
          <w:u w:val="single"/>
        </w:rPr>
        <w:t xml:space="preserve">Figure </w:t>
      </w:r>
      <w:r w:rsidR="00D13E20">
        <w:rPr>
          <w:u w:val="single"/>
        </w:rPr>
        <w:t>4</w:t>
      </w:r>
      <w:r w:rsidR="00264B68" w:rsidRPr="00264B68">
        <w:rPr>
          <w:u w:val="single"/>
        </w:rPr>
        <w:t>:</w:t>
      </w:r>
      <w:r w:rsidR="00D13E20">
        <w:rPr>
          <w:u w:val="single"/>
        </w:rPr>
        <w:t xml:space="preserve"> Adjusted Prevalence of PA enlargement using traditional threshold</w:t>
      </w:r>
      <w:r w:rsidR="00264B68" w:rsidRPr="00264B68">
        <w:rPr>
          <w:u w:val="single"/>
        </w:rPr>
        <w:t xml:space="preserve"> </w:t>
      </w:r>
    </w:p>
    <w:p w14:paraId="39E70651" w14:textId="757B5884" w:rsidR="00C705E0" w:rsidRDefault="00C705E0" w:rsidP="0005458F">
      <w:pPr>
        <w:spacing w:line="480" w:lineRule="auto"/>
        <w:rPr>
          <w:u w:val="single"/>
        </w:rPr>
      </w:pPr>
      <w:r>
        <w:rPr>
          <w:noProof/>
          <w:u w:val="single"/>
        </w:rPr>
        <w:drawing>
          <wp:inline distT="0" distB="0" distL="0" distR="0" wp14:anchorId="17FFA4A9" wp14:editId="22DC41F8">
            <wp:extent cx="5943600" cy="3966210"/>
            <wp:effectExtent l="0" t="0" r="0" b="0"/>
            <wp:docPr id="1191180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80907" name="Picture 1191180907"/>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2437779A" w14:textId="77777777" w:rsidR="00C705E0" w:rsidRDefault="00C705E0">
      <w:pPr>
        <w:rPr>
          <w:u w:val="single"/>
        </w:rPr>
      </w:pPr>
      <w:r>
        <w:rPr>
          <w:u w:val="single"/>
        </w:rPr>
        <w:br w:type="page"/>
      </w:r>
    </w:p>
    <w:p w14:paraId="4E228669" w14:textId="6782E927" w:rsidR="00C705E0" w:rsidRPr="00264B68" w:rsidRDefault="00C705E0" w:rsidP="0005458F">
      <w:pPr>
        <w:spacing w:line="480" w:lineRule="auto"/>
        <w:rPr>
          <w:u w:val="single"/>
        </w:rPr>
      </w:pPr>
      <w:r>
        <w:rPr>
          <w:u w:val="single"/>
        </w:rPr>
        <w:lastRenderedPageBreak/>
        <w:t>Figure 5 Increased Hazard of Mortality by Degree of PA enlargement and age across 3 strata of age</w:t>
      </w:r>
    </w:p>
    <w:tbl>
      <w:tblPr>
        <w:tblStyle w:val="TableGrid"/>
        <w:tblW w:w="0" w:type="auto"/>
        <w:tblLook w:val="04A0" w:firstRow="1" w:lastRow="0" w:firstColumn="1" w:lastColumn="0" w:noHBand="0" w:noVBand="1"/>
      </w:tblPr>
      <w:tblGrid>
        <w:gridCol w:w="4599"/>
        <w:gridCol w:w="4751"/>
      </w:tblGrid>
      <w:tr w:rsidR="00264B68" w14:paraId="09FC1512" w14:textId="77777777" w:rsidTr="00264B68">
        <w:tc>
          <w:tcPr>
            <w:tcW w:w="4675" w:type="dxa"/>
          </w:tcPr>
          <w:p w14:paraId="070AD10C" w14:textId="1C257013" w:rsidR="00264B68" w:rsidRDefault="00264B68" w:rsidP="0005458F">
            <w:pPr>
              <w:spacing w:line="480" w:lineRule="auto"/>
            </w:pPr>
            <w:r w:rsidRPr="00264B68">
              <w:rPr>
                <w:noProof/>
              </w:rPr>
              <w:drawing>
                <wp:inline distT="0" distB="0" distL="0" distR="0" wp14:anchorId="67C5605A" wp14:editId="4BEFAF2B">
                  <wp:extent cx="2931475" cy="1956207"/>
                  <wp:effectExtent l="0" t="0" r="2540" b="0"/>
                  <wp:docPr id="679913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3205"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31475" cy="1956207"/>
                          </a:xfrm>
                          <a:prstGeom prst="rect">
                            <a:avLst/>
                          </a:prstGeom>
                          <a:noFill/>
                          <a:ln>
                            <a:noFill/>
                          </a:ln>
                        </pic:spPr>
                      </pic:pic>
                    </a:graphicData>
                  </a:graphic>
                </wp:inline>
              </w:drawing>
            </w:r>
          </w:p>
        </w:tc>
        <w:tc>
          <w:tcPr>
            <w:tcW w:w="4675" w:type="dxa"/>
          </w:tcPr>
          <w:p w14:paraId="450272D4" w14:textId="193AFBEE" w:rsidR="00264B68" w:rsidRDefault="00264B68" w:rsidP="0005458F">
            <w:pPr>
              <w:spacing w:line="480" w:lineRule="auto"/>
            </w:pPr>
            <w:r w:rsidRPr="00264B68">
              <w:rPr>
                <w:noProof/>
              </w:rPr>
              <w:drawing>
                <wp:inline distT="0" distB="0" distL="0" distR="0" wp14:anchorId="4CCF40B6" wp14:editId="1C217E1C">
                  <wp:extent cx="3035894" cy="2025887"/>
                  <wp:effectExtent l="0" t="0" r="0" b="0"/>
                  <wp:docPr id="816111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11403"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035894" cy="2025887"/>
                          </a:xfrm>
                          <a:prstGeom prst="rect">
                            <a:avLst/>
                          </a:prstGeom>
                          <a:noFill/>
                          <a:ln>
                            <a:noFill/>
                          </a:ln>
                        </pic:spPr>
                      </pic:pic>
                    </a:graphicData>
                  </a:graphic>
                </wp:inline>
              </w:drawing>
            </w:r>
          </w:p>
        </w:tc>
      </w:tr>
    </w:tbl>
    <w:p w14:paraId="0CDD3D27" w14:textId="36F900D9" w:rsidR="00B6637A" w:rsidRPr="0041207B" w:rsidRDefault="00C705E0" w:rsidP="0005458F">
      <w:pPr>
        <w:spacing w:line="480" w:lineRule="auto"/>
        <w:rPr>
          <w:rFonts w:ascii="Times" w:eastAsiaTheme="majorEastAsia" w:hAnsi="Times" w:cstheme="majorBidi"/>
          <w:color w:val="000000" w:themeColor="text1"/>
          <w:szCs w:val="26"/>
          <w:u w:val="single"/>
        </w:rPr>
      </w:pPr>
      <w:r>
        <w:t xml:space="preserve">Age strata-referenced hazard of death by size of PA enlargement. For </w:t>
      </w:r>
      <w:proofErr w:type="spellStart"/>
      <w:r>
        <w:t>PAd</w:t>
      </w:r>
      <w:proofErr w:type="spellEnd"/>
      <w:r>
        <w:t xml:space="preserve">, a 25% (yellow), 50% (orange), and 100% (red) excess risk of death occurs with diameter of at lower size in Age&lt;50 and Age 50-65 as compared to in age &gt; 65. Conversely, a much larger ratio must be seen to confer the same excess risk of death in Age &lt; 50, as compared to 50-65 or 65+. </w:t>
      </w:r>
      <w:r w:rsidR="00B6637A">
        <w:br w:type="page"/>
      </w:r>
    </w:p>
    <w:p w14:paraId="7C9EF7B2" w14:textId="3294ADD3" w:rsidR="00281833" w:rsidRDefault="00ED4DAE" w:rsidP="006014D8">
      <w:pPr>
        <w:pStyle w:val="Heading1"/>
      </w:pPr>
      <w:r>
        <w:lastRenderedPageBreak/>
        <w:t>References:</w:t>
      </w:r>
    </w:p>
    <w:p w14:paraId="506FF931" w14:textId="77777777" w:rsidR="0064402C" w:rsidRPr="0064402C" w:rsidRDefault="00960E1C" w:rsidP="0064402C">
      <w:pPr>
        <w:pStyle w:val="Bibliography"/>
        <w:rPr>
          <w:rFonts w:ascii="Times" w:hAnsi="Times" w:cs="Times"/>
        </w:rPr>
      </w:pPr>
      <w:r>
        <w:rPr>
          <w:rFonts w:ascii="Times" w:hAnsi="Times"/>
        </w:rPr>
        <w:fldChar w:fldCharType="begin"/>
      </w:r>
      <w:r>
        <w:rPr>
          <w:rFonts w:ascii="Times" w:hAnsi="Times"/>
        </w:rPr>
        <w:instrText xml:space="preserve"> ADDIN ZOTERO_BIBL {"uncited":[],"omitted":[],"custom":[]} CSL_BIBLIOGRAPHY </w:instrText>
      </w:r>
      <w:r>
        <w:rPr>
          <w:rFonts w:ascii="Times" w:hAnsi="Times"/>
        </w:rPr>
        <w:fldChar w:fldCharType="separate"/>
      </w:r>
      <w:r w:rsidR="0064402C" w:rsidRPr="0064402C">
        <w:rPr>
          <w:rFonts w:ascii="Times" w:hAnsi="Times" w:cs="Times"/>
        </w:rPr>
        <w:t>1.</w:t>
      </w:r>
      <w:r w:rsidR="0064402C" w:rsidRPr="0064402C">
        <w:rPr>
          <w:rFonts w:ascii="Times" w:hAnsi="Times" w:cs="Times"/>
        </w:rPr>
        <w:tab/>
        <w:t xml:space="preserve">Truong QA, Massaro JM, Rogers IS, et al. Reference values for normal pulmonary artery dimensions by noncontrast cardiac computed tomography: the Framingham Heart Study. </w:t>
      </w:r>
      <w:r w:rsidR="0064402C" w:rsidRPr="0064402C">
        <w:rPr>
          <w:rFonts w:ascii="Times" w:hAnsi="Times" w:cs="Times"/>
          <w:i/>
          <w:iCs/>
        </w:rPr>
        <w:t>Circulation: Cardiovascular Imaging</w:t>
      </w:r>
      <w:r w:rsidR="0064402C" w:rsidRPr="0064402C">
        <w:rPr>
          <w:rFonts w:ascii="Times" w:hAnsi="Times" w:cs="Times"/>
        </w:rPr>
        <w:t>. 2012;5(1):147-154.</w:t>
      </w:r>
    </w:p>
    <w:p w14:paraId="72B7ACA2" w14:textId="77777777" w:rsidR="0064402C" w:rsidRPr="0064402C" w:rsidRDefault="0064402C" w:rsidP="0064402C">
      <w:pPr>
        <w:pStyle w:val="Bibliography"/>
        <w:rPr>
          <w:rFonts w:ascii="Times" w:hAnsi="Times" w:cs="Times"/>
        </w:rPr>
      </w:pPr>
      <w:r w:rsidRPr="0064402C">
        <w:rPr>
          <w:rFonts w:ascii="Times" w:hAnsi="Times" w:cs="Times"/>
        </w:rPr>
        <w:t>2.</w:t>
      </w:r>
      <w:r w:rsidRPr="0064402C">
        <w:rPr>
          <w:rFonts w:ascii="Times" w:hAnsi="Times" w:cs="Times"/>
        </w:rPr>
        <w:tab/>
        <w:t xml:space="preserve">Altman DG, Royston P. The cost of dichotomising continuous variables. </w:t>
      </w:r>
      <w:r w:rsidRPr="0064402C">
        <w:rPr>
          <w:rFonts w:ascii="Times" w:hAnsi="Times" w:cs="Times"/>
          <w:i/>
          <w:iCs/>
        </w:rPr>
        <w:t>BMJ</w:t>
      </w:r>
      <w:r w:rsidRPr="0064402C">
        <w:rPr>
          <w:rFonts w:ascii="Times" w:hAnsi="Times" w:cs="Times"/>
        </w:rPr>
        <w:t>. 2006;332(7549):1080. doi:10.1136/bmj.332.7549.1080</w:t>
      </w:r>
    </w:p>
    <w:p w14:paraId="0B66A8E8" w14:textId="77777777" w:rsidR="0064402C" w:rsidRPr="0064402C" w:rsidRDefault="0064402C" w:rsidP="0064402C">
      <w:pPr>
        <w:pStyle w:val="Bibliography"/>
        <w:rPr>
          <w:rFonts w:ascii="Times" w:hAnsi="Times" w:cs="Times"/>
        </w:rPr>
      </w:pPr>
      <w:r w:rsidRPr="0064402C">
        <w:rPr>
          <w:rFonts w:ascii="Times" w:hAnsi="Times" w:cs="Times"/>
        </w:rPr>
        <w:t>3.</w:t>
      </w:r>
      <w:r w:rsidRPr="0064402C">
        <w:rPr>
          <w:rFonts w:ascii="Times" w:hAnsi="Times" w:cs="Times"/>
        </w:rPr>
        <w:tab/>
        <w:t xml:space="preserve">Kohn MA. Key concepts in clinical epidemiology: reporting on the accuracy of continuous tests. </w:t>
      </w:r>
      <w:r w:rsidRPr="0064402C">
        <w:rPr>
          <w:rFonts w:ascii="Times" w:hAnsi="Times" w:cs="Times"/>
          <w:i/>
          <w:iCs/>
        </w:rPr>
        <w:t>Journal of Clinical Epidemiology</w:t>
      </w:r>
      <w:r w:rsidRPr="0064402C">
        <w:rPr>
          <w:rFonts w:ascii="Times" w:hAnsi="Times" w:cs="Times"/>
        </w:rPr>
        <w:t>. 2022;141:157-160. doi:10.1016/j.jclinepi.2021.07.012</w:t>
      </w:r>
    </w:p>
    <w:p w14:paraId="7C6A8F0A" w14:textId="77777777" w:rsidR="0064402C" w:rsidRPr="0064402C" w:rsidRDefault="0064402C" w:rsidP="0064402C">
      <w:pPr>
        <w:pStyle w:val="Bibliography"/>
        <w:rPr>
          <w:rFonts w:ascii="Times" w:hAnsi="Times" w:cs="Times"/>
        </w:rPr>
      </w:pPr>
      <w:r w:rsidRPr="0064402C">
        <w:rPr>
          <w:rFonts w:ascii="Times" w:hAnsi="Times" w:cs="Times"/>
        </w:rPr>
        <w:t>4.</w:t>
      </w:r>
      <w:r w:rsidRPr="0064402C">
        <w:rPr>
          <w:rFonts w:ascii="Times" w:hAnsi="Times" w:cs="Times"/>
        </w:rPr>
        <w:tab/>
        <w:t xml:space="preserve">Desquilbet L, Mariotti F. Dose-response analyses using restricted cubic spline functions in public health research. </w:t>
      </w:r>
      <w:r w:rsidRPr="0064402C">
        <w:rPr>
          <w:rFonts w:ascii="Times" w:hAnsi="Times" w:cs="Times"/>
          <w:i/>
          <w:iCs/>
        </w:rPr>
        <w:t>Statistics in Medicine</w:t>
      </w:r>
      <w:r w:rsidRPr="0064402C">
        <w:rPr>
          <w:rFonts w:ascii="Times" w:hAnsi="Times" w:cs="Times"/>
        </w:rPr>
        <w:t>. 2010;29(9):1037-1057. doi:10.1002/sim.3841</w:t>
      </w:r>
    </w:p>
    <w:p w14:paraId="1EFE6CC5" w14:textId="77777777" w:rsidR="0064402C" w:rsidRPr="0064402C" w:rsidRDefault="0064402C" w:rsidP="0064402C">
      <w:pPr>
        <w:pStyle w:val="Bibliography"/>
        <w:rPr>
          <w:rFonts w:ascii="Times" w:hAnsi="Times" w:cs="Times"/>
        </w:rPr>
      </w:pPr>
      <w:r w:rsidRPr="0064402C">
        <w:rPr>
          <w:rFonts w:ascii="Times" w:hAnsi="Times" w:cs="Times"/>
        </w:rPr>
        <w:t>5.</w:t>
      </w:r>
      <w:r w:rsidRPr="0064402C">
        <w:rPr>
          <w:rFonts w:ascii="Times" w:hAnsi="Times" w:cs="Times"/>
        </w:rPr>
        <w:tab/>
        <w:t xml:space="preserve">Scarpato BM, Locke BW, Bledsoe J, et al. The association between pulmonary artery enlargement and mortality in an Emergency Department population undergoing computed tomography pulmonary angiography. </w:t>
      </w:r>
      <w:r w:rsidRPr="0064402C">
        <w:rPr>
          <w:rFonts w:ascii="Times" w:hAnsi="Times" w:cs="Times"/>
          <w:i/>
          <w:iCs/>
        </w:rPr>
        <w:t>Pulmonary Circulation</w:t>
      </w:r>
      <w:r w:rsidRPr="0064402C">
        <w:rPr>
          <w:rFonts w:ascii="Times" w:hAnsi="Times" w:cs="Times"/>
        </w:rPr>
        <w:t>. 2023;13(2):e12225.</w:t>
      </w:r>
    </w:p>
    <w:p w14:paraId="219F780B" w14:textId="77777777" w:rsidR="0064402C" w:rsidRPr="0064402C" w:rsidRDefault="0064402C" w:rsidP="0064402C">
      <w:pPr>
        <w:pStyle w:val="Bibliography"/>
        <w:rPr>
          <w:rFonts w:ascii="Times" w:hAnsi="Times" w:cs="Times"/>
        </w:rPr>
      </w:pPr>
      <w:r w:rsidRPr="0064402C">
        <w:rPr>
          <w:rFonts w:ascii="Times" w:hAnsi="Times" w:cs="Times"/>
        </w:rPr>
        <w:t>6.</w:t>
      </w:r>
      <w:r w:rsidRPr="0064402C">
        <w:rPr>
          <w:rFonts w:ascii="Times" w:hAnsi="Times" w:cs="Times"/>
        </w:rPr>
        <w:tab/>
        <w:t xml:space="preserve">Harrell FE. </w:t>
      </w:r>
      <w:r w:rsidRPr="0064402C">
        <w:rPr>
          <w:rFonts w:ascii="Times" w:hAnsi="Times" w:cs="Times"/>
          <w:i/>
          <w:iCs/>
        </w:rPr>
        <w:t>Regression Modeling Strategies: With Applications to Linear Models, Logistic Regression, and Survival Analysis</w:t>
      </w:r>
      <w:r w:rsidRPr="0064402C">
        <w:rPr>
          <w:rFonts w:ascii="Times" w:hAnsi="Times" w:cs="Times"/>
        </w:rPr>
        <w:t>. Vol 608. Springer; 2001.</w:t>
      </w:r>
    </w:p>
    <w:p w14:paraId="7DCCF37E" w14:textId="77777777" w:rsidR="0064402C" w:rsidRPr="0064402C" w:rsidRDefault="0064402C" w:rsidP="0064402C">
      <w:pPr>
        <w:pStyle w:val="Bibliography"/>
        <w:rPr>
          <w:rFonts w:ascii="Times" w:hAnsi="Times" w:cs="Times"/>
        </w:rPr>
      </w:pPr>
      <w:r w:rsidRPr="0064402C">
        <w:rPr>
          <w:rFonts w:ascii="Times" w:hAnsi="Times" w:cs="Times"/>
        </w:rPr>
        <w:t>7.</w:t>
      </w:r>
      <w:r w:rsidRPr="0064402C">
        <w:rPr>
          <w:rFonts w:ascii="Times" w:hAnsi="Times" w:cs="Times"/>
        </w:rPr>
        <w:tab/>
        <w:t xml:space="preserve">Newman JH. Pulmonary hypertension. </w:t>
      </w:r>
      <w:r w:rsidRPr="0064402C">
        <w:rPr>
          <w:rFonts w:ascii="Times" w:hAnsi="Times" w:cs="Times"/>
          <w:i/>
          <w:iCs/>
        </w:rPr>
        <w:t>American journal of respiratory and critical care medicine</w:t>
      </w:r>
      <w:r w:rsidRPr="0064402C">
        <w:rPr>
          <w:rFonts w:ascii="Times" w:hAnsi="Times" w:cs="Times"/>
        </w:rPr>
        <w:t>. 2005;172(9):1072-1077.</w:t>
      </w:r>
    </w:p>
    <w:p w14:paraId="3AA61D23" w14:textId="77777777" w:rsidR="0064402C" w:rsidRPr="0064402C" w:rsidRDefault="0064402C" w:rsidP="0064402C">
      <w:pPr>
        <w:pStyle w:val="Bibliography"/>
        <w:rPr>
          <w:rFonts w:ascii="Times" w:hAnsi="Times" w:cs="Times"/>
        </w:rPr>
      </w:pPr>
      <w:r w:rsidRPr="0064402C">
        <w:rPr>
          <w:rFonts w:ascii="Times" w:hAnsi="Times" w:cs="Times"/>
        </w:rPr>
        <w:t>8.</w:t>
      </w:r>
      <w:r w:rsidRPr="0064402C">
        <w:rPr>
          <w:rFonts w:ascii="Times" w:hAnsi="Times" w:cs="Times"/>
        </w:rPr>
        <w:tab/>
        <w:t xml:space="preserve">Mahapatra S, Nishimura RA, Sorajja P, Cha S, McGoon MD. Relationship of pulmonary arterial capacitance and mortality in idiopathic pulmonary arterial hypertension. </w:t>
      </w:r>
      <w:r w:rsidRPr="0064402C">
        <w:rPr>
          <w:rFonts w:ascii="Times" w:hAnsi="Times" w:cs="Times"/>
          <w:i/>
          <w:iCs/>
        </w:rPr>
        <w:t>Journal of the American College of Cardiology</w:t>
      </w:r>
      <w:r w:rsidRPr="0064402C">
        <w:rPr>
          <w:rFonts w:ascii="Times" w:hAnsi="Times" w:cs="Times"/>
        </w:rPr>
        <w:t>. 2006;47(4):799-803.</w:t>
      </w:r>
    </w:p>
    <w:p w14:paraId="11B8A501" w14:textId="77777777" w:rsidR="0064402C" w:rsidRPr="0064402C" w:rsidRDefault="0064402C" w:rsidP="0064402C">
      <w:pPr>
        <w:pStyle w:val="Bibliography"/>
        <w:rPr>
          <w:rFonts w:ascii="Times" w:hAnsi="Times" w:cs="Times"/>
        </w:rPr>
      </w:pPr>
      <w:r w:rsidRPr="0064402C">
        <w:rPr>
          <w:rFonts w:ascii="Times" w:hAnsi="Times" w:cs="Times"/>
        </w:rPr>
        <w:t>9.</w:t>
      </w:r>
      <w:r w:rsidRPr="0064402C">
        <w:rPr>
          <w:rFonts w:ascii="Times" w:hAnsi="Times" w:cs="Times"/>
        </w:rPr>
        <w:tab/>
        <w:t xml:space="preserve">Collins GS, Ogundimu EO, Cook JA, Manach YL, Altman DG. Quantifying the impact of different approaches for handling continuous predictors on the performance of a prognostic model. </w:t>
      </w:r>
      <w:r w:rsidRPr="0064402C">
        <w:rPr>
          <w:rFonts w:ascii="Times" w:hAnsi="Times" w:cs="Times"/>
          <w:i/>
          <w:iCs/>
        </w:rPr>
        <w:t>Statistics in medicine</w:t>
      </w:r>
      <w:r w:rsidRPr="0064402C">
        <w:rPr>
          <w:rFonts w:ascii="Times" w:hAnsi="Times" w:cs="Times"/>
        </w:rPr>
        <w:t>. 2016;35(23):4124-4135.</w:t>
      </w:r>
    </w:p>
    <w:p w14:paraId="2DA321A0" w14:textId="1B46D2D8" w:rsidR="003C668A" w:rsidRPr="00361971" w:rsidRDefault="00960E1C" w:rsidP="00361971">
      <w:pPr>
        <w:spacing w:line="480" w:lineRule="auto"/>
        <w:rPr>
          <w:rFonts w:ascii="Times" w:hAnsi="Times"/>
        </w:rPr>
      </w:pPr>
      <w:r>
        <w:rPr>
          <w:rFonts w:ascii="Times" w:hAnsi="Times"/>
        </w:rPr>
        <w:fldChar w:fldCharType="end"/>
      </w:r>
    </w:p>
    <w:sectPr w:rsidR="003C668A" w:rsidRPr="00361971" w:rsidSect="00D13894">
      <w:head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LOCKE" w:date="2023-09-04T19:28:00Z" w:initials="BL">
    <w:p w14:paraId="0BB26C0C" w14:textId="71E9C655" w:rsidR="00463903" w:rsidRDefault="00463903" w:rsidP="0099613B">
      <w:pPr>
        <w:pStyle w:val="CommentText"/>
      </w:pPr>
      <w:r>
        <w:rPr>
          <w:rStyle w:val="CommentReference"/>
        </w:rPr>
        <w:annotationRef/>
      </w:r>
      <w:r>
        <w:t>Harrell modeling strategies: (</w:t>
      </w:r>
      <w:hyperlink r:id="rId1" w:anchor="sec-relax.linear" w:history="1">
        <w:r w:rsidRPr="0099613B">
          <w:rPr>
            <w:rStyle w:val="Hyperlink"/>
          </w:rPr>
          <w:t>https://hbiostat.org/rmsc/genreg.html#sec-relax.linear</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26C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0AE69" w16cex:dateUtc="2023-09-05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26C0C" w16cid:durableId="28A0A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C1F1" w14:textId="77777777" w:rsidR="00271514" w:rsidRDefault="00271514" w:rsidP="005150CD">
      <w:r>
        <w:separator/>
      </w:r>
    </w:p>
  </w:endnote>
  <w:endnote w:type="continuationSeparator" w:id="0">
    <w:p w14:paraId="55570BCB" w14:textId="77777777" w:rsidR="00271514" w:rsidRDefault="00271514" w:rsidP="005150CD">
      <w:r>
        <w:continuationSeparator/>
      </w:r>
    </w:p>
  </w:endnote>
  <w:endnote w:type="continuationNotice" w:id="1">
    <w:p w14:paraId="5E98E24A" w14:textId="77777777" w:rsidR="00271514" w:rsidRDefault="00271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Times-Bold">
    <w:altName w:val="Times New Roman"/>
    <w:panose1 w:val="020B0604020202020204"/>
    <w:charset w:val="00"/>
    <w:family w:val="swiss"/>
    <w:notTrueType/>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46E27" w14:textId="77777777" w:rsidR="00271514" w:rsidRDefault="00271514" w:rsidP="005150CD">
      <w:r>
        <w:separator/>
      </w:r>
    </w:p>
  </w:footnote>
  <w:footnote w:type="continuationSeparator" w:id="0">
    <w:p w14:paraId="21B9AF51" w14:textId="77777777" w:rsidR="00271514" w:rsidRDefault="00271514" w:rsidP="005150CD">
      <w:r>
        <w:continuationSeparator/>
      </w:r>
    </w:p>
  </w:footnote>
  <w:footnote w:type="continuationNotice" w:id="1">
    <w:p w14:paraId="4854EDCB" w14:textId="77777777" w:rsidR="00271514" w:rsidRDefault="002715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C979" w14:textId="41AEBEC9" w:rsidR="002077D4" w:rsidRDefault="003A372F">
    <w:pPr>
      <w:pStyle w:val="Header"/>
    </w:pPr>
    <w:r>
      <w:t xml:space="preserve">PA Size on CTPA in the ED: A Dose Response Analysis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715"/>
    <w:multiLevelType w:val="multilevel"/>
    <w:tmpl w:val="3B7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3368"/>
    <w:multiLevelType w:val="hybridMultilevel"/>
    <w:tmpl w:val="631ED8D8"/>
    <w:lvl w:ilvl="0" w:tplc="3A44A2D6">
      <w:start w:val="889"/>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6325C2"/>
    <w:multiLevelType w:val="hybridMultilevel"/>
    <w:tmpl w:val="6484BB3C"/>
    <w:lvl w:ilvl="0" w:tplc="8920F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A17894"/>
    <w:multiLevelType w:val="hybridMultilevel"/>
    <w:tmpl w:val="F7FC0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B6323"/>
    <w:multiLevelType w:val="hybridMultilevel"/>
    <w:tmpl w:val="FAB0E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568F5"/>
    <w:multiLevelType w:val="hybridMultilevel"/>
    <w:tmpl w:val="577EEE7A"/>
    <w:lvl w:ilvl="0" w:tplc="A36A90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04BE0"/>
    <w:multiLevelType w:val="hybridMultilevel"/>
    <w:tmpl w:val="E3CA6F8C"/>
    <w:lvl w:ilvl="0" w:tplc="D7404C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A51BE"/>
    <w:multiLevelType w:val="hybridMultilevel"/>
    <w:tmpl w:val="515E0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7F16E7A"/>
    <w:multiLevelType w:val="hybridMultilevel"/>
    <w:tmpl w:val="3D5A276A"/>
    <w:lvl w:ilvl="0" w:tplc="F1C4A82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711EA1"/>
    <w:multiLevelType w:val="hybridMultilevel"/>
    <w:tmpl w:val="6290CCE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A156BD"/>
    <w:multiLevelType w:val="multilevel"/>
    <w:tmpl w:val="B6961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86DF1"/>
    <w:multiLevelType w:val="hybridMultilevel"/>
    <w:tmpl w:val="4554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91136"/>
    <w:multiLevelType w:val="hybridMultilevel"/>
    <w:tmpl w:val="528E635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250CD"/>
    <w:multiLevelType w:val="hybridMultilevel"/>
    <w:tmpl w:val="0CE8630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E0849"/>
    <w:multiLevelType w:val="hybridMultilevel"/>
    <w:tmpl w:val="6F26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91420"/>
    <w:multiLevelType w:val="multilevel"/>
    <w:tmpl w:val="6F2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10670"/>
    <w:multiLevelType w:val="hybridMultilevel"/>
    <w:tmpl w:val="6F2697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F860D6"/>
    <w:multiLevelType w:val="hybridMultilevel"/>
    <w:tmpl w:val="5CBCF8A8"/>
    <w:lvl w:ilvl="0" w:tplc="F7F888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D36EC6"/>
    <w:multiLevelType w:val="hybridMultilevel"/>
    <w:tmpl w:val="8494974C"/>
    <w:lvl w:ilvl="0" w:tplc="73A27E36">
      <w:start w:val="200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810039">
    <w:abstractNumId w:val="17"/>
  </w:num>
  <w:num w:numId="2" w16cid:durableId="945235240">
    <w:abstractNumId w:val="5"/>
  </w:num>
  <w:num w:numId="3" w16cid:durableId="1124886757">
    <w:abstractNumId w:val="6"/>
  </w:num>
  <w:num w:numId="4" w16cid:durableId="20039691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9970604">
    <w:abstractNumId w:val="14"/>
  </w:num>
  <w:num w:numId="6" w16cid:durableId="1766338586">
    <w:abstractNumId w:val="11"/>
  </w:num>
  <w:num w:numId="7" w16cid:durableId="445471364">
    <w:abstractNumId w:val="18"/>
  </w:num>
  <w:num w:numId="8" w16cid:durableId="676687174">
    <w:abstractNumId w:val="10"/>
  </w:num>
  <w:num w:numId="9" w16cid:durableId="1386637580">
    <w:abstractNumId w:val="10"/>
  </w:num>
  <w:num w:numId="10" w16cid:durableId="1519193771">
    <w:abstractNumId w:val="10"/>
  </w:num>
  <w:num w:numId="11" w16cid:durableId="1650673401">
    <w:abstractNumId w:val="15"/>
    <w:lvlOverride w:ilvl="0">
      <w:startOverride w:val="1"/>
    </w:lvlOverride>
  </w:num>
  <w:num w:numId="12" w16cid:durableId="1107576781">
    <w:abstractNumId w:val="8"/>
  </w:num>
  <w:num w:numId="13" w16cid:durableId="737900437">
    <w:abstractNumId w:val="7"/>
  </w:num>
  <w:num w:numId="14" w16cid:durableId="2078356862">
    <w:abstractNumId w:val="16"/>
  </w:num>
  <w:num w:numId="15" w16cid:durableId="939871178">
    <w:abstractNumId w:val="0"/>
  </w:num>
  <w:num w:numId="16" w16cid:durableId="487013373">
    <w:abstractNumId w:val="12"/>
  </w:num>
  <w:num w:numId="17" w16cid:durableId="1739136035">
    <w:abstractNumId w:val="9"/>
  </w:num>
  <w:num w:numId="18" w16cid:durableId="1244876795">
    <w:abstractNumId w:val="13"/>
  </w:num>
  <w:num w:numId="19" w16cid:durableId="987972563">
    <w:abstractNumId w:val="2"/>
  </w:num>
  <w:num w:numId="20" w16cid:durableId="1969311208">
    <w:abstractNumId w:val="3"/>
  </w:num>
  <w:num w:numId="21" w16cid:durableId="102306093">
    <w:abstractNumId w:val="4"/>
  </w:num>
  <w:num w:numId="22" w16cid:durableId="15035928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LOCKE">
    <w15:presenceInfo w15:providerId="AD" w15:userId="S::u0476159@umail.utah.edu::6b682560-f349-4700-93d6-cc89da2ba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71BA7"/>
    <w:rsid w:val="000011A9"/>
    <w:rsid w:val="00002236"/>
    <w:rsid w:val="0000253E"/>
    <w:rsid w:val="000038E0"/>
    <w:rsid w:val="000047C6"/>
    <w:rsid w:val="00005997"/>
    <w:rsid w:val="0000781C"/>
    <w:rsid w:val="00011B39"/>
    <w:rsid w:val="000124C9"/>
    <w:rsid w:val="00012BFF"/>
    <w:rsid w:val="00012F97"/>
    <w:rsid w:val="000137DF"/>
    <w:rsid w:val="00013DAE"/>
    <w:rsid w:val="00014278"/>
    <w:rsid w:val="000156E6"/>
    <w:rsid w:val="00016ADE"/>
    <w:rsid w:val="0002016E"/>
    <w:rsid w:val="00023368"/>
    <w:rsid w:val="0002393B"/>
    <w:rsid w:val="00024435"/>
    <w:rsid w:val="00030AA0"/>
    <w:rsid w:val="0003173F"/>
    <w:rsid w:val="0003223D"/>
    <w:rsid w:val="00032A3D"/>
    <w:rsid w:val="00034960"/>
    <w:rsid w:val="000369C9"/>
    <w:rsid w:val="000414A4"/>
    <w:rsid w:val="000427BC"/>
    <w:rsid w:val="0004574B"/>
    <w:rsid w:val="00046893"/>
    <w:rsid w:val="00046DCB"/>
    <w:rsid w:val="00046E4D"/>
    <w:rsid w:val="000473A9"/>
    <w:rsid w:val="0004752F"/>
    <w:rsid w:val="00047AF5"/>
    <w:rsid w:val="00047C3F"/>
    <w:rsid w:val="00050141"/>
    <w:rsid w:val="00050232"/>
    <w:rsid w:val="000514C7"/>
    <w:rsid w:val="00052285"/>
    <w:rsid w:val="0005453E"/>
    <w:rsid w:val="0005458F"/>
    <w:rsid w:val="00055870"/>
    <w:rsid w:val="00057C5F"/>
    <w:rsid w:val="00060FD2"/>
    <w:rsid w:val="00063014"/>
    <w:rsid w:val="00066EE9"/>
    <w:rsid w:val="00071F7C"/>
    <w:rsid w:val="000738BF"/>
    <w:rsid w:val="000747D2"/>
    <w:rsid w:val="000800D7"/>
    <w:rsid w:val="00080501"/>
    <w:rsid w:val="000810E0"/>
    <w:rsid w:val="00082912"/>
    <w:rsid w:val="000854D3"/>
    <w:rsid w:val="0008590F"/>
    <w:rsid w:val="00090E0E"/>
    <w:rsid w:val="0009117D"/>
    <w:rsid w:val="000924C6"/>
    <w:rsid w:val="00093D3F"/>
    <w:rsid w:val="0009439B"/>
    <w:rsid w:val="000946C6"/>
    <w:rsid w:val="00094D82"/>
    <w:rsid w:val="00094FAB"/>
    <w:rsid w:val="000966AD"/>
    <w:rsid w:val="000974F6"/>
    <w:rsid w:val="000A19A0"/>
    <w:rsid w:val="000A3B57"/>
    <w:rsid w:val="000A4B35"/>
    <w:rsid w:val="000A682C"/>
    <w:rsid w:val="000B0702"/>
    <w:rsid w:val="000B1A17"/>
    <w:rsid w:val="000B244C"/>
    <w:rsid w:val="000B2638"/>
    <w:rsid w:val="000B2690"/>
    <w:rsid w:val="000B2AAB"/>
    <w:rsid w:val="000B2D80"/>
    <w:rsid w:val="000B422D"/>
    <w:rsid w:val="000B7122"/>
    <w:rsid w:val="000B7C94"/>
    <w:rsid w:val="000B7F8B"/>
    <w:rsid w:val="000C3FD9"/>
    <w:rsid w:val="000C5A55"/>
    <w:rsid w:val="000D1221"/>
    <w:rsid w:val="000D2B2A"/>
    <w:rsid w:val="000D2CF0"/>
    <w:rsid w:val="000D2F88"/>
    <w:rsid w:val="000D4730"/>
    <w:rsid w:val="000D5585"/>
    <w:rsid w:val="000D5D2D"/>
    <w:rsid w:val="000D791F"/>
    <w:rsid w:val="000E0639"/>
    <w:rsid w:val="000E0EE5"/>
    <w:rsid w:val="000E3910"/>
    <w:rsid w:val="000E6B4F"/>
    <w:rsid w:val="000E765E"/>
    <w:rsid w:val="000F0608"/>
    <w:rsid w:val="000F12CC"/>
    <w:rsid w:val="000F266D"/>
    <w:rsid w:val="000F313F"/>
    <w:rsid w:val="000F5BB5"/>
    <w:rsid w:val="000F5E91"/>
    <w:rsid w:val="000F7EBF"/>
    <w:rsid w:val="00102E01"/>
    <w:rsid w:val="00103176"/>
    <w:rsid w:val="00105549"/>
    <w:rsid w:val="001063B5"/>
    <w:rsid w:val="001063EA"/>
    <w:rsid w:val="00110668"/>
    <w:rsid w:val="00112774"/>
    <w:rsid w:val="00112803"/>
    <w:rsid w:val="00113CCF"/>
    <w:rsid w:val="001149FF"/>
    <w:rsid w:val="00115CA0"/>
    <w:rsid w:val="001164DD"/>
    <w:rsid w:val="001175C9"/>
    <w:rsid w:val="00121EAB"/>
    <w:rsid w:val="00122210"/>
    <w:rsid w:val="00122768"/>
    <w:rsid w:val="00125EF9"/>
    <w:rsid w:val="00126CC8"/>
    <w:rsid w:val="00127C1F"/>
    <w:rsid w:val="0013007F"/>
    <w:rsid w:val="00131232"/>
    <w:rsid w:val="0013174D"/>
    <w:rsid w:val="00132CD7"/>
    <w:rsid w:val="001373A1"/>
    <w:rsid w:val="00141B6D"/>
    <w:rsid w:val="00141E6C"/>
    <w:rsid w:val="001424C6"/>
    <w:rsid w:val="00143B2A"/>
    <w:rsid w:val="0014602E"/>
    <w:rsid w:val="001471D5"/>
    <w:rsid w:val="0015166C"/>
    <w:rsid w:val="0015210B"/>
    <w:rsid w:val="00156EE0"/>
    <w:rsid w:val="001624FA"/>
    <w:rsid w:val="001632CC"/>
    <w:rsid w:val="00163620"/>
    <w:rsid w:val="00164F3E"/>
    <w:rsid w:val="00172BA1"/>
    <w:rsid w:val="0017322E"/>
    <w:rsid w:val="00173921"/>
    <w:rsid w:val="00174C6A"/>
    <w:rsid w:val="00177E19"/>
    <w:rsid w:val="00192A7C"/>
    <w:rsid w:val="00192DC8"/>
    <w:rsid w:val="0019444A"/>
    <w:rsid w:val="001957C1"/>
    <w:rsid w:val="00195BCB"/>
    <w:rsid w:val="00196A10"/>
    <w:rsid w:val="001A0319"/>
    <w:rsid w:val="001A1A6D"/>
    <w:rsid w:val="001A5B67"/>
    <w:rsid w:val="001A792E"/>
    <w:rsid w:val="001B4004"/>
    <w:rsid w:val="001B4C2C"/>
    <w:rsid w:val="001B6F12"/>
    <w:rsid w:val="001B7025"/>
    <w:rsid w:val="001B7718"/>
    <w:rsid w:val="001C34CC"/>
    <w:rsid w:val="001C36CA"/>
    <w:rsid w:val="001C448E"/>
    <w:rsid w:val="001C66B1"/>
    <w:rsid w:val="001C690C"/>
    <w:rsid w:val="001C7E0A"/>
    <w:rsid w:val="001D02C4"/>
    <w:rsid w:val="001D334C"/>
    <w:rsid w:val="001D4E02"/>
    <w:rsid w:val="001D5A5C"/>
    <w:rsid w:val="001D6D8D"/>
    <w:rsid w:val="001E10C3"/>
    <w:rsid w:val="001E25D0"/>
    <w:rsid w:val="001E2A97"/>
    <w:rsid w:val="001E3EB0"/>
    <w:rsid w:val="001E4665"/>
    <w:rsid w:val="001E48E7"/>
    <w:rsid w:val="001E5062"/>
    <w:rsid w:val="001E615C"/>
    <w:rsid w:val="001E726E"/>
    <w:rsid w:val="001F18A4"/>
    <w:rsid w:val="001F1F04"/>
    <w:rsid w:val="001F3048"/>
    <w:rsid w:val="001F50B4"/>
    <w:rsid w:val="001F6D2F"/>
    <w:rsid w:val="001F76B0"/>
    <w:rsid w:val="00201919"/>
    <w:rsid w:val="002022DB"/>
    <w:rsid w:val="00203762"/>
    <w:rsid w:val="0020777A"/>
    <w:rsid w:val="002077D4"/>
    <w:rsid w:val="002120B4"/>
    <w:rsid w:val="00212B30"/>
    <w:rsid w:val="00213EE6"/>
    <w:rsid w:val="002145F1"/>
    <w:rsid w:val="00214887"/>
    <w:rsid w:val="00216ECD"/>
    <w:rsid w:val="002201E1"/>
    <w:rsid w:val="00225D4D"/>
    <w:rsid w:val="002261B6"/>
    <w:rsid w:val="00226B30"/>
    <w:rsid w:val="00227DCA"/>
    <w:rsid w:val="0023160B"/>
    <w:rsid w:val="00234BDC"/>
    <w:rsid w:val="0023726F"/>
    <w:rsid w:val="002433B4"/>
    <w:rsid w:val="002438CE"/>
    <w:rsid w:val="00246459"/>
    <w:rsid w:val="00246B05"/>
    <w:rsid w:val="00246F8C"/>
    <w:rsid w:val="00247CCA"/>
    <w:rsid w:val="00250122"/>
    <w:rsid w:val="002507BF"/>
    <w:rsid w:val="00251FDF"/>
    <w:rsid w:val="002547FA"/>
    <w:rsid w:val="00255F41"/>
    <w:rsid w:val="002605BE"/>
    <w:rsid w:val="0026341E"/>
    <w:rsid w:val="00263784"/>
    <w:rsid w:val="00263C27"/>
    <w:rsid w:val="00264612"/>
    <w:rsid w:val="00264B68"/>
    <w:rsid w:val="00265742"/>
    <w:rsid w:val="0026761E"/>
    <w:rsid w:val="00271338"/>
    <w:rsid w:val="00271514"/>
    <w:rsid w:val="00273DB1"/>
    <w:rsid w:val="00274ECA"/>
    <w:rsid w:val="00275520"/>
    <w:rsid w:val="002762FB"/>
    <w:rsid w:val="00280E88"/>
    <w:rsid w:val="00281833"/>
    <w:rsid w:val="00282AED"/>
    <w:rsid w:val="00282B1D"/>
    <w:rsid w:val="002839F9"/>
    <w:rsid w:val="002849F6"/>
    <w:rsid w:val="00284E23"/>
    <w:rsid w:val="0028530C"/>
    <w:rsid w:val="00285501"/>
    <w:rsid w:val="002858E0"/>
    <w:rsid w:val="00285D3D"/>
    <w:rsid w:val="002871C5"/>
    <w:rsid w:val="00287369"/>
    <w:rsid w:val="002907A4"/>
    <w:rsid w:val="00291958"/>
    <w:rsid w:val="002932B1"/>
    <w:rsid w:val="00293D67"/>
    <w:rsid w:val="00296C1C"/>
    <w:rsid w:val="00297168"/>
    <w:rsid w:val="00297C9F"/>
    <w:rsid w:val="002A01E2"/>
    <w:rsid w:val="002A1449"/>
    <w:rsid w:val="002A221E"/>
    <w:rsid w:val="002A3AF3"/>
    <w:rsid w:val="002A7E06"/>
    <w:rsid w:val="002B4E87"/>
    <w:rsid w:val="002B5424"/>
    <w:rsid w:val="002C2E8E"/>
    <w:rsid w:val="002C3AF7"/>
    <w:rsid w:val="002C3E84"/>
    <w:rsid w:val="002C4C29"/>
    <w:rsid w:val="002C6457"/>
    <w:rsid w:val="002D28D8"/>
    <w:rsid w:val="002D3E95"/>
    <w:rsid w:val="002E1625"/>
    <w:rsid w:val="002E289F"/>
    <w:rsid w:val="002E397E"/>
    <w:rsid w:val="002E55F9"/>
    <w:rsid w:val="002E7B6C"/>
    <w:rsid w:val="002F0299"/>
    <w:rsid w:val="002F09B8"/>
    <w:rsid w:val="00300740"/>
    <w:rsid w:val="00302252"/>
    <w:rsid w:val="003045E2"/>
    <w:rsid w:val="00307402"/>
    <w:rsid w:val="0031016A"/>
    <w:rsid w:val="00310F1F"/>
    <w:rsid w:val="00312F12"/>
    <w:rsid w:val="00313504"/>
    <w:rsid w:val="0031409C"/>
    <w:rsid w:val="00316325"/>
    <w:rsid w:val="00316C5A"/>
    <w:rsid w:val="00320BDF"/>
    <w:rsid w:val="00321C0D"/>
    <w:rsid w:val="00324CD4"/>
    <w:rsid w:val="003263A5"/>
    <w:rsid w:val="00330A27"/>
    <w:rsid w:val="00330D3F"/>
    <w:rsid w:val="00331A3F"/>
    <w:rsid w:val="00336BE1"/>
    <w:rsid w:val="003370CC"/>
    <w:rsid w:val="0033737F"/>
    <w:rsid w:val="00337B92"/>
    <w:rsid w:val="003400BA"/>
    <w:rsid w:val="00340600"/>
    <w:rsid w:val="00341060"/>
    <w:rsid w:val="00344F77"/>
    <w:rsid w:val="00345F41"/>
    <w:rsid w:val="00346F96"/>
    <w:rsid w:val="00350A3C"/>
    <w:rsid w:val="0035325D"/>
    <w:rsid w:val="00353499"/>
    <w:rsid w:val="00355A7E"/>
    <w:rsid w:val="00360D3A"/>
    <w:rsid w:val="00361971"/>
    <w:rsid w:val="00364CFA"/>
    <w:rsid w:val="00365E19"/>
    <w:rsid w:val="003713E9"/>
    <w:rsid w:val="0037204B"/>
    <w:rsid w:val="00374511"/>
    <w:rsid w:val="00374718"/>
    <w:rsid w:val="00374972"/>
    <w:rsid w:val="00374EFC"/>
    <w:rsid w:val="0037739D"/>
    <w:rsid w:val="00380B58"/>
    <w:rsid w:val="0038152A"/>
    <w:rsid w:val="00385419"/>
    <w:rsid w:val="00386DB1"/>
    <w:rsid w:val="00391487"/>
    <w:rsid w:val="0039605C"/>
    <w:rsid w:val="00396E81"/>
    <w:rsid w:val="003A1D7F"/>
    <w:rsid w:val="003A1DF3"/>
    <w:rsid w:val="003A2916"/>
    <w:rsid w:val="003A3497"/>
    <w:rsid w:val="003A3684"/>
    <w:rsid w:val="003A372F"/>
    <w:rsid w:val="003A7138"/>
    <w:rsid w:val="003A7C38"/>
    <w:rsid w:val="003B0EA0"/>
    <w:rsid w:val="003B278A"/>
    <w:rsid w:val="003B3788"/>
    <w:rsid w:val="003B48FA"/>
    <w:rsid w:val="003B6634"/>
    <w:rsid w:val="003B6882"/>
    <w:rsid w:val="003B70BA"/>
    <w:rsid w:val="003C1007"/>
    <w:rsid w:val="003C291A"/>
    <w:rsid w:val="003C5C2A"/>
    <w:rsid w:val="003C63D9"/>
    <w:rsid w:val="003C668A"/>
    <w:rsid w:val="003C68D5"/>
    <w:rsid w:val="003C7291"/>
    <w:rsid w:val="003C780D"/>
    <w:rsid w:val="003C7F22"/>
    <w:rsid w:val="003D08E6"/>
    <w:rsid w:val="003D132E"/>
    <w:rsid w:val="003D15D3"/>
    <w:rsid w:val="003D1803"/>
    <w:rsid w:val="003D1B0A"/>
    <w:rsid w:val="003D2F68"/>
    <w:rsid w:val="003D5035"/>
    <w:rsid w:val="003D682F"/>
    <w:rsid w:val="003D68AB"/>
    <w:rsid w:val="003E1887"/>
    <w:rsid w:val="003E2D47"/>
    <w:rsid w:val="003E3DE2"/>
    <w:rsid w:val="003E4998"/>
    <w:rsid w:val="003E729A"/>
    <w:rsid w:val="003F0013"/>
    <w:rsid w:val="003F0085"/>
    <w:rsid w:val="003F043B"/>
    <w:rsid w:val="003F0EA3"/>
    <w:rsid w:val="003F1292"/>
    <w:rsid w:val="003F2A74"/>
    <w:rsid w:val="003F2CDF"/>
    <w:rsid w:val="003F3371"/>
    <w:rsid w:val="003F43F3"/>
    <w:rsid w:val="003F4969"/>
    <w:rsid w:val="003F5189"/>
    <w:rsid w:val="003F5722"/>
    <w:rsid w:val="003F781F"/>
    <w:rsid w:val="00401EA6"/>
    <w:rsid w:val="004020CD"/>
    <w:rsid w:val="00402ED6"/>
    <w:rsid w:val="00405547"/>
    <w:rsid w:val="00405AA3"/>
    <w:rsid w:val="004076DC"/>
    <w:rsid w:val="00411855"/>
    <w:rsid w:val="0041207B"/>
    <w:rsid w:val="0041239D"/>
    <w:rsid w:val="004145F3"/>
    <w:rsid w:val="00414AA4"/>
    <w:rsid w:val="00415703"/>
    <w:rsid w:val="00415C30"/>
    <w:rsid w:val="00416447"/>
    <w:rsid w:val="0041696D"/>
    <w:rsid w:val="00417497"/>
    <w:rsid w:val="00417D53"/>
    <w:rsid w:val="00423849"/>
    <w:rsid w:val="004240C9"/>
    <w:rsid w:val="00430996"/>
    <w:rsid w:val="0043145F"/>
    <w:rsid w:val="00432311"/>
    <w:rsid w:val="00433B60"/>
    <w:rsid w:val="00434B6F"/>
    <w:rsid w:val="00435A5B"/>
    <w:rsid w:val="004362C0"/>
    <w:rsid w:val="00436732"/>
    <w:rsid w:val="004409DE"/>
    <w:rsid w:val="00441A01"/>
    <w:rsid w:val="00442DD3"/>
    <w:rsid w:val="00445856"/>
    <w:rsid w:val="00445996"/>
    <w:rsid w:val="00446767"/>
    <w:rsid w:val="0044679C"/>
    <w:rsid w:val="00447A6A"/>
    <w:rsid w:val="0045342F"/>
    <w:rsid w:val="00457F6D"/>
    <w:rsid w:val="00460926"/>
    <w:rsid w:val="00460BBB"/>
    <w:rsid w:val="00460BE0"/>
    <w:rsid w:val="004613D0"/>
    <w:rsid w:val="00461ED0"/>
    <w:rsid w:val="00463903"/>
    <w:rsid w:val="0046415F"/>
    <w:rsid w:val="00465E27"/>
    <w:rsid w:val="00465F20"/>
    <w:rsid w:val="00471378"/>
    <w:rsid w:val="0047369F"/>
    <w:rsid w:val="004739E9"/>
    <w:rsid w:val="004751E4"/>
    <w:rsid w:val="00475ED7"/>
    <w:rsid w:val="00476E5C"/>
    <w:rsid w:val="0047766D"/>
    <w:rsid w:val="004811DF"/>
    <w:rsid w:val="004830CF"/>
    <w:rsid w:val="00483882"/>
    <w:rsid w:val="0048395D"/>
    <w:rsid w:val="00484020"/>
    <w:rsid w:val="00485132"/>
    <w:rsid w:val="00490507"/>
    <w:rsid w:val="00492654"/>
    <w:rsid w:val="004936C0"/>
    <w:rsid w:val="004957FE"/>
    <w:rsid w:val="00496A03"/>
    <w:rsid w:val="00497AD2"/>
    <w:rsid w:val="004A0331"/>
    <w:rsid w:val="004A1ACA"/>
    <w:rsid w:val="004A36B0"/>
    <w:rsid w:val="004A3875"/>
    <w:rsid w:val="004A68F7"/>
    <w:rsid w:val="004B0750"/>
    <w:rsid w:val="004B504C"/>
    <w:rsid w:val="004B6161"/>
    <w:rsid w:val="004C19AA"/>
    <w:rsid w:val="004C4635"/>
    <w:rsid w:val="004C4799"/>
    <w:rsid w:val="004C6630"/>
    <w:rsid w:val="004D1506"/>
    <w:rsid w:val="004D2A56"/>
    <w:rsid w:val="004D3922"/>
    <w:rsid w:val="004D3A44"/>
    <w:rsid w:val="004D4907"/>
    <w:rsid w:val="004D5B81"/>
    <w:rsid w:val="004D618A"/>
    <w:rsid w:val="004D7074"/>
    <w:rsid w:val="004D70AF"/>
    <w:rsid w:val="004E0391"/>
    <w:rsid w:val="004E0DD1"/>
    <w:rsid w:val="004E142F"/>
    <w:rsid w:val="004E1F88"/>
    <w:rsid w:val="004E24A0"/>
    <w:rsid w:val="004E33DA"/>
    <w:rsid w:val="004E3A28"/>
    <w:rsid w:val="004E457F"/>
    <w:rsid w:val="004F07FE"/>
    <w:rsid w:val="004F4F45"/>
    <w:rsid w:val="004F6E06"/>
    <w:rsid w:val="004F71A3"/>
    <w:rsid w:val="00500249"/>
    <w:rsid w:val="0050140A"/>
    <w:rsid w:val="005017D4"/>
    <w:rsid w:val="0050395E"/>
    <w:rsid w:val="00503E66"/>
    <w:rsid w:val="00504A7A"/>
    <w:rsid w:val="005065E0"/>
    <w:rsid w:val="00510129"/>
    <w:rsid w:val="00510DEB"/>
    <w:rsid w:val="005124CA"/>
    <w:rsid w:val="00512D69"/>
    <w:rsid w:val="005150CD"/>
    <w:rsid w:val="00515C3A"/>
    <w:rsid w:val="00517205"/>
    <w:rsid w:val="00517F81"/>
    <w:rsid w:val="00523B3F"/>
    <w:rsid w:val="005260B5"/>
    <w:rsid w:val="00527C55"/>
    <w:rsid w:val="00530EDE"/>
    <w:rsid w:val="00532B8B"/>
    <w:rsid w:val="00534FE3"/>
    <w:rsid w:val="00535033"/>
    <w:rsid w:val="00535096"/>
    <w:rsid w:val="005363E9"/>
    <w:rsid w:val="005400FA"/>
    <w:rsid w:val="00540357"/>
    <w:rsid w:val="00541B1B"/>
    <w:rsid w:val="00542F6D"/>
    <w:rsid w:val="0054376B"/>
    <w:rsid w:val="00544737"/>
    <w:rsid w:val="00547859"/>
    <w:rsid w:val="00547867"/>
    <w:rsid w:val="005508BB"/>
    <w:rsid w:val="005536BB"/>
    <w:rsid w:val="00554FB5"/>
    <w:rsid w:val="00556476"/>
    <w:rsid w:val="005604FA"/>
    <w:rsid w:val="00562108"/>
    <w:rsid w:val="00564B7D"/>
    <w:rsid w:val="00566F14"/>
    <w:rsid w:val="0056725F"/>
    <w:rsid w:val="005677D0"/>
    <w:rsid w:val="0057277D"/>
    <w:rsid w:val="00574AE2"/>
    <w:rsid w:val="005810E6"/>
    <w:rsid w:val="005829C9"/>
    <w:rsid w:val="005832BF"/>
    <w:rsid w:val="005864B7"/>
    <w:rsid w:val="00587BEA"/>
    <w:rsid w:val="00591BF7"/>
    <w:rsid w:val="0059366F"/>
    <w:rsid w:val="00597248"/>
    <w:rsid w:val="005A1430"/>
    <w:rsid w:val="005A18F3"/>
    <w:rsid w:val="005A28E2"/>
    <w:rsid w:val="005A2C7F"/>
    <w:rsid w:val="005A5861"/>
    <w:rsid w:val="005A6E15"/>
    <w:rsid w:val="005B05BF"/>
    <w:rsid w:val="005B0997"/>
    <w:rsid w:val="005B1358"/>
    <w:rsid w:val="005B4F5C"/>
    <w:rsid w:val="005B7F46"/>
    <w:rsid w:val="005C3DF8"/>
    <w:rsid w:val="005C3FE2"/>
    <w:rsid w:val="005C43DE"/>
    <w:rsid w:val="005C5E7B"/>
    <w:rsid w:val="005C6785"/>
    <w:rsid w:val="005C78D1"/>
    <w:rsid w:val="005D2E95"/>
    <w:rsid w:val="005D378C"/>
    <w:rsid w:val="005D554C"/>
    <w:rsid w:val="005E7E3A"/>
    <w:rsid w:val="005F18ED"/>
    <w:rsid w:val="005F36CE"/>
    <w:rsid w:val="005F3905"/>
    <w:rsid w:val="005F4E53"/>
    <w:rsid w:val="005F5D30"/>
    <w:rsid w:val="006014D8"/>
    <w:rsid w:val="00601521"/>
    <w:rsid w:val="00601ABC"/>
    <w:rsid w:val="00602C93"/>
    <w:rsid w:val="00604D88"/>
    <w:rsid w:val="006051FF"/>
    <w:rsid w:val="006100AC"/>
    <w:rsid w:val="00610CDF"/>
    <w:rsid w:val="00614092"/>
    <w:rsid w:val="0061523A"/>
    <w:rsid w:val="00615396"/>
    <w:rsid w:val="00621982"/>
    <w:rsid w:val="0062395C"/>
    <w:rsid w:val="006271DB"/>
    <w:rsid w:val="00632139"/>
    <w:rsid w:val="00633ADE"/>
    <w:rsid w:val="006352BB"/>
    <w:rsid w:val="00643B29"/>
    <w:rsid w:val="0064402C"/>
    <w:rsid w:val="0064591C"/>
    <w:rsid w:val="006471D0"/>
    <w:rsid w:val="00647410"/>
    <w:rsid w:val="00652040"/>
    <w:rsid w:val="0065315B"/>
    <w:rsid w:val="0065466D"/>
    <w:rsid w:val="00655485"/>
    <w:rsid w:val="00656AB7"/>
    <w:rsid w:val="00660745"/>
    <w:rsid w:val="00660762"/>
    <w:rsid w:val="00660825"/>
    <w:rsid w:val="00661C5D"/>
    <w:rsid w:val="00662960"/>
    <w:rsid w:val="00664A95"/>
    <w:rsid w:val="00664D63"/>
    <w:rsid w:val="006668E3"/>
    <w:rsid w:val="00672FF1"/>
    <w:rsid w:val="0067439C"/>
    <w:rsid w:val="00675E13"/>
    <w:rsid w:val="00676814"/>
    <w:rsid w:val="006806F6"/>
    <w:rsid w:val="00680A7E"/>
    <w:rsid w:val="00682049"/>
    <w:rsid w:val="00682A8A"/>
    <w:rsid w:val="00682FB5"/>
    <w:rsid w:val="00683D8C"/>
    <w:rsid w:val="0068510B"/>
    <w:rsid w:val="00685250"/>
    <w:rsid w:val="00686116"/>
    <w:rsid w:val="00687FDE"/>
    <w:rsid w:val="00690C38"/>
    <w:rsid w:val="00691131"/>
    <w:rsid w:val="006919CA"/>
    <w:rsid w:val="006931A2"/>
    <w:rsid w:val="006941AD"/>
    <w:rsid w:val="00694CFF"/>
    <w:rsid w:val="006A09C2"/>
    <w:rsid w:val="006A0DEF"/>
    <w:rsid w:val="006A1302"/>
    <w:rsid w:val="006A14C3"/>
    <w:rsid w:val="006A25A4"/>
    <w:rsid w:val="006A326F"/>
    <w:rsid w:val="006A34F7"/>
    <w:rsid w:val="006A3D2C"/>
    <w:rsid w:val="006A5033"/>
    <w:rsid w:val="006A55B8"/>
    <w:rsid w:val="006A76D7"/>
    <w:rsid w:val="006B1381"/>
    <w:rsid w:val="006B2CD7"/>
    <w:rsid w:val="006B4299"/>
    <w:rsid w:val="006B49A7"/>
    <w:rsid w:val="006B5863"/>
    <w:rsid w:val="006B6206"/>
    <w:rsid w:val="006B76F9"/>
    <w:rsid w:val="006C7BEF"/>
    <w:rsid w:val="006D0B9A"/>
    <w:rsid w:val="006D14F2"/>
    <w:rsid w:val="006D346C"/>
    <w:rsid w:val="006D3C2D"/>
    <w:rsid w:val="006E04D6"/>
    <w:rsid w:val="006E06B1"/>
    <w:rsid w:val="006E1C75"/>
    <w:rsid w:val="006E3058"/>
    <w:rsid w:val="006E3296"/>
    <w:rsid w:val="006E4C68"/>
    <w:rsid w:val="006E5C9A"/>
    <w:rsid w:val="006E6638"/>
    <w:rsid w:val="006E6C9B"/>
    <w:rsid w:val="006E75BB"/>
    <w:rsid w:val="006F2A65"/>
    <w:rsid w:val="006F38E2"/>
    <w:rsid w:val="006F6D9D"/>
    <w:rsid w:val="006F7D2A"/>
    <w:rsid w:val="00700EE1"/>
    <w:rsid w:val="00701920"/>
    <w:rsid w:val="00702778"/>
    <w:rsid w:val="007041E2"/>
    <w:rsid w:val="0070426A"/>
    <w:rsid w:val="00705AB5"/>
    <w:rsid w:val="00706556"/>
    <w:rsid w:val="0070786A"/>
    <w:rsid w:val="00710841"/>
    <w:rsid w:val="00710925"/>
    <w:rsid w:val="00713514"/>
    <w:rsid w:val="00717488"/>
    <w:rsid w:val="007179FB"/>
    <w:rsid w:val="00717AA9"/>
    <w:rsid w:val="0072093D"/>
    <w:rsid w:val="00720FD3"/>
    <w:rsid w:val="0072531C"/>
    <w:rsid w:val="007333AA"/>
    <w:rsid w:val="007337FF"/>
    <w:rsid w:val="00735469"/>
    <w:rsid w:val="007359A9"/>
    <w:rsid w:val="00735E6B"/>
    <w:rsid w:val="00741537"/>
    <w:rsid w:val="007420C3"/>
    <w:rsid w:val="00743F13"/>
    <w:rsid w:val="00743F34"/>
    <w:rsid w:val="007446EE"/>
    <w:rsid w:val="00747727"/>
    <w:rsid w:val="00751153"/>
    <w:rsid w:val="00751974"/>
    <w:rsid w:val="007532E3"/>
    <w:rsid w:val="00755054"/>
    <w:rsid w:val="0076138D"/>
    <w:rsid w:val="00762A5D"/>
    <w:rsid w:val="00764EA1"/>
    <w:rsid w:val="007705EE"/>
    <w:rsid w:val="007712A9"/>
    <w:rsid w:val="00771C32"/>
    <w:rsid w:val="00772E6D"/>
    <w:rsid w:val="0077330E"/>
    <w:rsid w:val="007740AC"/>
    <w:rsid w:val="007768CD"/>
    <w:rsid w:val="007800C8"/>
    <w:rsid w:val="007810A0"/>
    <w:rsid w:val="007842CF"/>
    <w:rsid w:val="007846D5"/>
    <w:rsid w:val="007877DE"/>
    <w:rsid w:val="00787A68"/>
    <w:rsid w:val="00787D28"/>
    <w:rsid w:val="00787D9C"/>
    <w:rsid w:val="007913A2"/>
    <w:rsid w:val="007925A2"/>
    <w:rsid w:val="0079268D"/>
    <w:rsid w:val="00792F26"/>
    <w:rsid w:val="00794725"/>
    <w:rsid w:val="00796093"/>
    <w:rsid w:val="007A1C25"/>
    <w:rsid w:val="007A2009"/>
    <w:rsid w:val="007A2AFD"/>
    <w:rsid w:val="007B38BC"/>
    <w:rsid w:val="007B4CBE"/>
    <w:rsid w:val="007B6B57"/>
    <w:rsid w:val="007B7530"/>
    <w:rsid w:val="007B76F1"/>
    <w:rsid w:val="007C1B3B"/>
    <w:rsid w:val="007C4745"/>
    <w:rsid w:val="007C4CB8"/>
    <w:rsid w:val="007C6C27"/>
    <w:rsid w:val="007D087E"/>
    <w:rsid w:val="007D76B5"/>
    <w:rsid w:val="007E2B24"/>
    <w:rsid w:val="007E4AF2"/>
    <w:rsid w:val="007E50A2"/>
    <w:rsid w:val="007E75C6"/>
    <w:rsid w:val="007E7A58"/>
    <w:rsid w:val="007E7B3E"/>
    <w:rsid w:val="007F09B6"/>
    <w:rsid w:val="007F172D"/>
    <w:rsid w:val="007F1FA8"/>
    <w:rsid w:val="007F34BB"/>
    <w:rsid w:val="007F3F49"/>
    <w:rsid w:val="007F4BCA"/>
    <w:rsid w:val="007F5017"/>
    <w:rsid w:val="007F6532"/>
    <w:rsid w:val="007F7DCF"/>
    <w:rsid w:val="00800C7A"/>
    <w:rsid w:val="0080152F"/>
    <w:rsid w:val="00803A7B"/>
    <w:rsid w:val="0080466F"/>
    <w:rsid w:val="008110DC"/>
    <w:rsid w:val="00814FA6"/>
    <w:rsid w:val="00815B56"/>
    <w:rsid w:val="008255C0"/>
    <w:rsid w:val="008257C4"/>
    <w:rsid w:val="00826625"/>
    <w:rsid w:val="00835342"/>
    <w:rsid w:val="008357C6"/>
    <w:rsid w:val="00843F8E"/>
    <w:rsid w:val="00844F00"/>
    <w:rsid w:val="00846066"/>
    <w:rsid w:val="008543F8"/>
    <w:rsid w:val="00856B0B"/>
    <w:rsid w:val="00857501"/>
    <w:rsid w:val="00857D2C"/>
    <w:rsid w:val="00860E58"/>
    <w:rsid w:val="00861B2D"/>
    <w:rsid w:val="00861FE4"/>
    <w:rsid w:val="00864F14"/>
    <w:rsid w:val="00864F65"/>
    <w:rsid w:val="0086532F"/>
    <w:rsid w:val="0086621A"/>
    <w:rsid w:val="00873E38"/>
    <w:rsid w:val="00875CFF"/>
    <w:rsid w:val="00880BB1"/>
    <w:rsid w:val="00880C5D"/>
    <w:rsid w:val="00881424"/>
    <w:rsid w:val="0088143B"/>
    <w:rsid w:val="0088391D"/>
    <w:rsid w:val="0089098D"/>
    <w:rsid w:val="008910B7"/>
    <w:rsid w:val="008932C5"/>
    <w:rsid w:val="008947CB"/>
    <w:rsid w:val="00896450"/>
    <w:rsid w:val="008A1E2F"/>
    <w:rsid w:val="008A2ED5"/>
    <w:rsid w:val="008A3A0C"/>
    <w:rsid w:val="008A3D2D"/>
    <w:rsid w:val="008A3F25"/>
    <w:rsid w:val="008A418E"/>
    <w:rsid w:val="008A5B37"/>
    <w:rsid w:val="008A6095"/>
    <w:rsid w:val="008A6B51"/>
    <w:rsid w:val="008A7944"/>
    <w:rsid w:val="008B18C8"/>
    <w:rsid w:val="008B7519"/>
    <w:rsid w:val="008C367C"/>
    <w:rsid w:val="008C3C4A"/>
    <w:rsid w:val="008C4600"/>
    <w:rsid w:val="008C51A9"/>
    <w:rsid w:val="008C58CB"/>
    <w:rsid w:val="008D25D8"/>
    <w:rsid w:val="008D2BA8"/>
    <w:rsid w:val="008D765F"/>
    <w:rsid w:val="008D7791"/>
    <w:rsid w:val="008E152C"/>
    <w:rsid w:val="008E1C26"/>
    <w:rsid w:val="008E242F"/>
    <w:rsid w:val="008E2EAC"/>
    <w:rsid w:val="008E426A"/>
    <w:rsid w:val="008E62A1"/>
    <w:rsid w:val="008E742E"/>
    <w:rsid w:val="008E7C83"/>
    <w:rsid w:val="008E7F8F"/>
    <w:rsid w:val="008F1437"/>
    <w:rsid w:val="008F4440"/>
    <w:rsid w:val="008F580B"/>
    <w:rsid w:val="008F761E"/>
    <w:rsid w:val="008F769F"/>
    <w:rsid w:val="008F7A82"/>
    <w:rsid w:val="009008E4"/>
    <w:rsid w:val="009011DD"/>
    <w:rsid w:val="009017A7"/>
    <w:rsid w:val="009024AB"/>
    <w:rsid w:val="0090412B"/>
    <w:rsid w:val="00906ACF"/>
    <w:rsid w:val="0091312B"/>
    <w:rsid w:val="00913295"/>
    <w:rsid w:val="009145C3"/>
    <w:rsid w:val="0091483C"/>
    <w:rsid w:val="009169C9"/>
    <w:rsid w:val="00924DC3"/>
    <w:rsid w:val="0092781D"/>
    <w:rsid w:val="009301FB"/>
    <w:rsid w:val="00930797"/>
    <w:rsid w:val="009321ED"/>
    <w:rsid w:val="00933762"/>
    <w:rsid w:val="00935D72"/>
    <w:rsid w:val="00937BDE"/>
    <w:rsid w:val="0094448D"/>
    <w:rsid w:val="009461A5"/>
    <w:rsid w:val="00946D19"/>
    <w:rsid w:val="00946F1D"/>
    <w:rsid w:val="009506C1"/>
    <w:rsid w:val="00950E47"/>
    <w:rsid w:val="00952967"/>
    <w:rsid w:val="00953630"/>
    <w:rsid w:val="0095587C"/>
    <w:rsid w:val="009567F9"/>
    <w:rsid w:val="00957D04"/>
    <w:rsid w:val="00960E1C"/>
    <w:rsid w:val="00962517"/>
    <w:rsid w:val="009633F3"/>
    <w:rsid w:val="0096372F"/>
    <w:rsid w:val="00964C5D"/>
    <w:rsid w:val="009670A9"/>
    <w:rsid w:val="00967721"/>
    <w:rsid w:val="009714A1"/>
    <w:rsid w:val="00971BA7"/>
    <w:rsid w:val="00974B39"/>
    <w:rsid w:val="00976109"/>
    <w:rsid w:val="00977DDE"/>
    <w:rsid w:val="0098340B"/>
    <w:rsid w:val="00985EAF"/>
    <w:rsid w:val="00986825"/>
    <w:rsid w:val="00986CEB"/>
    <w:rsid w:val="00986F5D"/>
    <w:rsid w:val="009907F1"/>
    <w:rsid w:val="009911B8"/>
    <w:rsid w:val="00992355"/>
    <w:rsid w:val="00992E0B"/>
    <w:rsid w:val="00992E5F"/>
    <w:rsid w:val="0099461C"/>
    <w:rsid w:val="009952AC"/>
    <w:rsid w:val="009A042C"/>
    <w:rsid w:val="009A2416"/>
    <w:rsid w:val="009A4BE4"/>
    <w:rsid w:val="009A5284"/>
    <w:rsid w:val="009A6E4C"/>
    <w:rsid w:val="009A72A5"/>
    <w:rsid w:val="009A7F69"/>
    <w:rsid w:val="009B10B6"/>
    <w:rsid w:val="009B3DB7"/>
    <w:rsid w:val="009B48E7"/>
    <w:rsid w:val="009B5DF7"/>
    <w:rsid w:val="009B6C04"/>
    <w:rsid w:val="009B6F0F"/>
    <w:rsid w:val="009C1CB8"/>
    <w:rsid w:val="009C21FF"/>
    <w:rsid w:val="009C2307"/>
    <w:rsid w:val="009C250B"/>
    <w:rsid w:val="009C330E"/>
    <w:rsid w:val="009C3737"/>
    <w:rsid w:val="009C391C"/>
    <w:rsid w:val="009C4CAC"/>
    <w:rsid w:val="009C6A8F"/>
    <w:rsid w:val="009D0E31"/>
    <w:rsid w:val="009D2610"/>
    <w:rsid w:val="009D2A2F"/>
    <w:rsid w:val="009D3A38"/>
    <w:rsid w:val="009D3B58"/>
    <w:rsid w:val="009E4406"/>
    <w:rsid w:val="009E5EB7"/>
    <w:rsid w:val="009E699F"/>
    <w:rsid w:val="009F06BE"/>
    <w:rsid w:val="009F0918"/>
    <w:rsid w:val="009F4E17"/>
    <w:rsid w:val="009F4FFB"/>
    <w:rsid w:val="009F5F25"/>
    <w:rsid w:val="00A0040B"/>
    <w:rsid w:val="00A0224F"/>
    <w:rsid w:val="00A04AAE"/>
    <w:rsid w:val="00A115B7"/>
    <w:rsid w:val="00A12881"/>
    <w:rsid w:val="00A1301B"/>
    <w:rsid w:val="00A13157"/>
    <w:rsid w:val="00A13FD0"/>
    <w:rsid w:val="00A14505"/>
    <w:rsid w:val="00A1581C"/>
    <w:rsid w:val="00A166F5"/>
    <w:rsid w:val="00A20695"/>
    <w:rsid w:val="00A21774"/>
    <w:rsid w:val="00A23184"/>
    <w:rsid w:val="00A23458"/>
    <w:rsid w:val="00A2427E"/>
    <w:rsid w:val="00A24D6D"/>
    <w:rsid w:val="00A330EA"/>
    <w:rsid w:val="00A3379A"/>
    <w:rsid w:val="00A34104"/>
    <w:rsid w:val="00A349A5"/>
    <w:rsid w:val="00A34BAC"/>
    <w:rsid w:val="00A34F83"/>
    <w:rsid w:val="00A35649"/>
    <w:rsid w:val="00A35F2C"/>
    <w:rsid w:val="00A37769"/>
    <w:rsid w:val="00A50BE5"/>
    <w:rsid w:val="00A54045"/>
    <w:rsid w:val="00A54929"/>
    <w:rsid w:val="00A55ACC"/>
    <w:rsid w:val="00A569DA"/>
    <w:rsid w:val="00A5794B"/>
    <w:rsid w:val="00A60271"/>
    <w:rsid w:val="00A603F1"/>
    <w:rsid w:val="00A60DEA"/>
    <w:rsid w:val="00A61DDF"/>
    <w:rsid w:val="00A644EC"/>
    <w:rsid w:val="00A662B2"/>
    <w:rsid w:val="00A67097"/>
    <w:rsid w:val="00A67102"/>
    <w:rsid w:val="00A72CAB"/>
    <w:rsid w:val="00A73D53"/>
    <w:rsid w:val="00A73DCF"/>
    <w:rsid w:val="00A740F0"/>
    <w:rsid w:val="00A77114"/>
    <w:rsid w:val="00A77DF6"/>
    <w:rsid w:val="00A81806"/>
    <w:rsid w:val="00A845B2"/>
    <w:rsid w:val="00A85E8A"/>
    <w:rsid w:val="00A90B66"/>
    <w:rsid w:val="00A930C8"/>
    <w:rsid w:val="00A94FC8"/>
    <w:rsid w:val="00A957EA"/>
    <w:rsid w:val="00A958F4"/>
    <w:rsid w:val="00A97329"/>
    <w:rsid w:val="00AB447D"/>
    <w:rsid w:val="00AB4E5A"/>
    <w:rsid w:val="00AC151B"/>
    <w:rsid w:val="00AC2C42"/>
    <w:rsid w:val="00AC2D7C"/>
    <w:rsid w:val="00AC58FD"/>
    <w:rsid w:val="00AC5A1E"/>
    <w:rsid w:val="00AD4CEA"/>
    <w:rsid w:val="00AD57CE"/>
    <w:rsid w:val="00AD5AB0"/>
    <w:rsid w:val="00AD6E9F"/>
    <w:rsid w:val="00AD6F08"/>
    <w:rsid w:val="00AD72A2"/>
    <w:rsid w:val="00AD7C9C"/>
    <w:rsid w:val="00AE1CF6"/>
    <w:rsid w:val="00AE55F4"/>
    <w:rsid w:val="00AE6EEB"/>
    <w:rsid w:val="00AE7CC7"/>
    <w:rsid w:val="00AF1101"/>
    <w:rsid w:val="00AF5EC7"/>
    <w:rsid w:val="00AF6BF7"/>
    <w:rsid w:val="00AF71EF"/>
    <w:rsid w:val="00B038A0"/>
    <w:rsid w:val="00B052F2"/>
    <w:rsid w:val="00B06342"/>
    <w:rsid w:val="00B06CCE"/>
    <w:rsid w:val="00B11260"/>
    <w:rsid w:val="00B11627"/>
    <w:rsid w:val="00B15B7D"/>
    <w:rsid w:val="00B1667E"/>
    <w:rsid w:val="00B20C2A"/>
    <w:rsid w:val="00B21573"/>
    <w:rsid w:val="00B2263E"/>
    <w:rsid w:val="00B233A4"/>
    <w:rsid w:val="00B23849"/>
    <w:rsid w:val="00B25A59"/>
    <w:rsid w:val="00B26CA3"/>
    <w:rsid w:val="00B27176"/>
    <w:rsid w:val="00B30366"/>
    <w:rsid w:val="00B327B3"/>
    <w:rsid w:val="00B33108"/>
    <w:rsid w:val="00B336C4"/>
    <w:rsid w:val="00B34CFF"/>
    <w:rsid w:val="00B35D25"/>
    <w:rsid w:val="00B36F34"/>
    <w:rsid w:val="00B37DAA"/>
    <w:rsid w:val="00B40998"/>
    <w:rsid w:val="00B40E9D"/>
    <w:rsid w:val="00B41C9F"/>
    <w:rsid w:val="00B43B0B"/>
    <w:rsid w:val="00B43BF9"/>
    <w:rsid w:val="00B43DBF"/>
    <w:rsid w:val="00B44B03"/>
    <w:rsid w:val="00B4790F"/>
    <w:rsid w:val="00B47AFE"/>
    <w:rsid w:val="00B51F8D"/>
    <w:rsid w:val="00B5437A"/>
    <w:rsid w:val="00B54AEE"/>
    <w:rsid w:val="00B5535A"/>
    <w:rsid w:val="00B56FFC"/>
    <w:rsid w:val="00B61D7E"/>
    <w:rsid w:val="00B66247"/>
    <w:rsid w:val="00B6637A"/>
    <w:rsid w:val="00B667E4"/>
    <w:rsid w:val="00B66E0D"/>
    <w:rsid w:val="00B67413"/>
    <w:rsid w:val="00B71A6F"/>
    <w:rsid w:val="00B72A25"/>
    <w:rsid w:val="00B73184"/>
    <w:rsid w:val="00B74149"/>
    <w:rsid w:val="00B806DE"/>
    <w:rsid w:val="00B80816"/>
    <w:rsid w:val="00B81D24"/>
    <w:rsid w:val="00B85A45"/>
    <w:rsid w:val="00B87514"/>
    <w:rsid w:val="00B90C65"/>
    <w:rsid w:val="00B91F8A"/>
    <w:rsid w:val="00B93B0D"/>
    <w:rsid w:val="00B96223"/>
    <w:rsid w:val="00B97035"/>
    <w:rsid w:val="00BA016C"/>
    <w:rsid w:val="00BA16F1"/>
    <w:rsid w:val="00BA1AA4"/>
    <w:rsid w:val="00BA2801"/>
    <w:rsid w:val="00BA4107"/>
    <w:rsid w:val="00BA56B3"/>
    <w:rsid w:val="00BA5B0D"/>
    <w:rsid w:val="00BA5D67"/>
    <w:rsid w:val="00BA6E25"/>
    <w:rsid w:val="00BB090E"/>
    <w:rsid w:val="00BB11A8"/>
    <w:rsid w:val="00BB1B42"/>
    <w:rsid w:val="00BB586E"/>
    <w:rsid w:val="00BB5FA1"/>
    <w:rsid w:val="00BB6515"/>
    <w:rsid w:val="00BB7EB9"/>
    <w:rsid w:val="00BC0157"/>
    <w:rsid w:val="00BC456E"/>
    <w:rsid w:val="00BC45DE"/>
    <w:rsid w:val="00BC47E4"/>
    <w:rsid w:val="00BC6DB2"/>
    <w:rsid w:val="00BD1C4A"/>
    <w:rsid w:val="00BD2A8E"/>
    <w:rsid w:val="00BD3CF4"/>
    <w:rsid w:val="00BD4317"/>
    <w:rsid w:val="00BE0898"/>
    <w:rsid w:val="00BE1E5C"/>
    <w:rsid w:val="00BE202F"/>
    <w:rsid w:val="00BE6D1A"/>
    <w:rsid w:val="00BF0132"/>
    <w:rsid w:val="00BF3681"/>
    <w:rsid w:val="00BF6247"/>
    <w:rsid w:val="00BF68C0"/>
    <w:rsid w:val="00BF77C1"/>
    <w:rsid w:val="00C024C9"/>
    <w:rsid w:val="00C02EEB"/>
    <w:rsid w:val="00C1018B"/>
    <w:rsid w:val="00C10C68"/>
    <w:rsid w:val="00C160E0"/>
    <w:rsid w:val="00C17DCB"/>
    <w:rsid w:val="00C20DFD"/>
    <w:rsid w:val="00C221E3"/>
    <w:rsid w:val="00C22F1B"/>
    <w:rsid w:val="00C23F44"/>
    <w:rsid w:val="00C24081"/>
    <w:rsid w:val="00C24A93"/>
    <w:rsid w:val="00C25829"/>
    <w:rsid w:val="00C26420"/>
    <w:rsid w:val="00C26AC4"/>
    <w:rsid w:val="00C30582"/>
    <w:rsid w:val="00C31590"/>
    <w:rsid w:val="00C33222"/>
    <w:rsid w:val="00C33CA6"/>
    <w:rsid w:val="00C33D23"/>
    <w:rsid w:val="00C33EBA"/>
    <w:rsid w:val="00C400C9"/>
    <w:rsid w:val="00C40902"/>
    <w:rsid w:val="00C42B4A"/>
    <w:rsid w:val="00C4715D"/>
    <w:rsid w:val="00C471CC"/>
    <w:rsid w:val="00C4751E"/>
    <w:rsid w:val="00C506D0"/>
    <w:rsid w:val="00C54873"/>
    <w:rsid w:val="00C55FED"/>
    <w:rsid w:val="00C5657B"/>
    <w:rsid w:val="00C56833"/>
    <w:rsid w:val="00C57691"/>
    <w:rsid w:val="00C57B6D"/>
    <w:rsid w:val="00C61AEE"/>
    <w:rsid w:val="00C61E16"/>
    <w:rsid w:val="00C63B97"/>
    <w:rsid w:val="00C705E0"/>
    <w:rsid w:val="00C71ABA"/>
    <w:rsid w:val="00C738E4"/>
    <w:rsid w:val="00C7675B"/>
    <w:rsid w:val="00C80164"/>
    <w:rsid w:val="00C815B2"/>
    <w:rsid w:val="00C83775"/>
    <w:rsid w:val="00C86507"/>
    <w:rsid w:val="00C86B29"/>
    <w:rsid w:val="00C91889"/>
    <w:rsid w:val="00C97670"/>
    <w:rsid w:val="00CA1762"/>
    <w:rsid w:val="00CA24E5"/>
    <w:rsid w:val="00CA3539"/>
    <w:rsid w:val="00CA39FA"/>
    <w:rsid w:val="00CA5986"/>
    <w:rsid w:val="00CB15A0"/>
    <w:rsid w:val="00CB2D22"/>
    <w:rsid w:val="00CB2FE8"/>
    <w:rsid w:val="00CB430D"/>
    <w:rsid w:val="00CB5371"/>
    <w:rsid w:val="00CB55F4"/>
    <w:rsid w:val="00CC1E32"/>
    <w:rsid w:val="00CC2136"/>
    <w:rsid w:val="00CC3559"/>
    <w:rsid w:val="00CC3E6C"/>
    <w:rsid w:val="00CC4E1B"/>
    <w:rsid w:val="00CC7128"/>
    <w:rsid w:val="00CD0908"/>
    <w:rsid w:val="00CD27EA"/>
    <w:rsid w:val="00CD31AD"/>
    <w:rsid w:val="00CD39E4"/>
    <w:rsid w:val="00CD4155"/>
    <w:rsid w:val="00CD6278"/>
    <w:rsid w:val="00CD637D"/>
    <w:rsid w:val="00CD6857"/>
    <w:rsid w:val="00CE03B3"/>
    <w:rsid w:val="00CE3528"/>
    <w:rsid w:val="00CE3BD4"/>
    <w:rsid w:val="00CE4168"/>
    <w:rsid w:val="00CF26E2"/>
    <w:rsid w:val="00CF686F"/>
    <w:rsid w:val="00D00D9D"/>
    <w:rsid w:val="00D00DCA"/>
    <w:rsid w:val="00D013CB"/>
    <w:rsid w:val="00D0193D"/>
    <w:rsid w:val="00D029EF"/>
    <w:rsid w:val="00D04385"/>
    <w:rsid w:val="00D0453E"/>
    <w:rsid w:val="00D04AD1"/>
    <w:rsid w:val="00D05CD1"/>
    <w:rsid w:val="00D066AB"/>
    <w:rsid w:val="00D11682"/>
    <w:rsid w:val="00D12FA3"/>
    <w:rsid w:val="00D13894"/>
    <w:rsid w:val="00D13E20"/>
    <w:rsid w:val="00D17729"/>
    <w:rsid w:val="00D20B22"/>
    <w:rsid w:val="00D2459A"/>
    <w:rsid w:val="00D24DCC"/>
    <w:rsid w:val="00D30619"/>
    <w:rsid w:val="00D334B8"/>
    <w:rsid w:val="00D36001"/>
    <w:rsid w:val="00D36571"/>
    <w:rsid w:val="00D368F1"/>
    <w:rsid w:val="00D37869"/>
    <w:rsid w:val="00D4058A"/>
    <w:rsid w:val="00D4249D"/>
    <w:rsid w:val="00D455CF"/>
    <w:rsid w:val="00D46098"/>
    <w:rsid w:val="00D46F9E"/>
    <w:rsid w:val="00D47B19"/>
    <w:rsid w:val="00D50A77"/>
    <w:rsid w:val="00D50C15"/>
    <w:rsid w:val="00D50C51"/>
    <w:rsid w:val="00D51985"/>
    <w:rsid w:val="00D53E8C"/>
    <w:rsid w:val="00D54A6B"/>
    <w:rsid w:val="00D57F95"/>
    <w:rsid w:val="00D61BAF"/>
    <w:rsid w:val="00D62638"/>
    <w:rsid w:val="00D64014"/>
    <w:rsid w:val="00D70673"/>
    <w:rsid w:val="00D70DAF"/>
    <w:rsid w:val="00D7173F"/>
    <w:rsid w:val="00D746E2"/>
    <w:rsid w:val="00D765EE"/>
    <w:rsid w:val="00D76FD1"/>
    <w:rsid w:val="00D80150"/>
    <w:rsid w:val="00D82690"/>
    <w:rsid w:val="00D83EDD"/>
    <w:rsid w:val="00D85774"/>
    <w:rsid w:val="00D86B29"/>
    <w:rsid w:val="00D87847"/>
    <w:rsid w:val="00D90299"/>
    <w:rsid w:val="00D9084E"/>
    <w:rsid w:val="00D91969"/>
    <w:rsid w:val="00D91B6D"/>
    <w:rsid w:val="00D92A27"/>
    <w:rsid w:val="00D92D60"/>
    <w:rsid w:val="00D9534A"/>
    <w:rsid w:val="00DA2107"/>
    <w:rsid w:val="00DA22AC"/>
    <w:rsid w:val="00DA2CBD"/>
    <w:rsid w:val="00DA3309"/>
    <w:rsid w:val="00DA38B4"/>
    <w:rsid w:val="00DA66C9"/>
    <w:rsid w:val="00DB03FF"/>
    <w:rsid w:val="00DB1838"/>
    <w:rsid w:val="00DB314C"/>
    <w:rsid w:val="00DB3EF7"/>
    <w:rsid w:val="00DB7023"/>
    <w:rsid w:val="00DC0C9B"/>
    <w:rsid w:val="00DC1223"/>
    <w:rsid w:val="00DC289D"/>
    <w:rsid w:val="00DC3E91"/>
    <w:rsid w:val="00DC6366"/>
    <w:rsid w:val="00DC75D0"/>
    <w:rsid w:val="00DD07E0"/>
    <w:rsid w:val="00DD0FAA"/>
    <w:rsid w:val="00DD4034"/>
    <w:rsid w:val="00DD4137"/>
    <w:rsid w:val="00DD43E3"/>
    <w:rsid w:val="00DD5193"/>
    <w:rsid w:val="00DD5ED8"/>
    <w:rsid w:val="00DD5FCA"/>
    <w:rsid w:val="00DD73E1"/>
    <w:rsid w:val="00DE02AA"/>
    <w:rsid w:val="00DE295F"/>
    <w:rsid w:val="00DE2C8A"/>
    <w:rsid w:val="00DE3586"/>
    <w:rsid w:val="00DE40BB"/>
    <w:rsid w:val="00DE4E55"/>
    <w:rsid w:val="00DE5D90"/>
    <w:rsid w:val="00DE5DEE"/>
    <w:rsid w:val="00DF051D"/>
    <w:rsid w:val="00DF1FAB"/>
    <w:rsid w:val="00DF21D9"/>
    <w:rsid w:val="00DF2D95"/>
    <w:rsid w:val="00DF30CA"/>
    <w:rsid w:val="00DF5D74"/>
    <w:rsid w:val="00E02D87"/>
    <w:rsid w:val="00E03306"/>
    <w:rsid w:val="00E07C65"/>
    <w:rsid w:val="00E1010F"/>
    <w:rsid w:val="00E1105D"/>
    <w:rsid w:val="00E11BC3"/>
    <w:rsid w:val="00E16980"/>
    <w:rsid w:val="00E17131"/>
    <w:rsid w:val="00E221EF"/>
    <w:rsid w:val="00E226F7"/>
    <w:rsid w:val="00E23A56"/>
    <w:rsid w:val="00E25883"/>
    <w:rsid w:val="00E2784A"/>
    <w:rsid w:val="00E31658"/>
    <w:rsid w:val="00E320A4"/>
    <w:rsid w:val="00E3252D"/>
    <w:rsid w:val="00E32FB0"/>
    <w:rsid w:val="00E33E3E"/>
    <w:rsid w:val="00E34328"/>
    <w:rsid w:val="00E34F5C"/>
    <w:rsid w:val="00E36666"/>
    <w:rsid w:val="00E36974"/>
    <w:rsid w:val="00E42A09"/>
    <w:rsid w:val="00E45014"/>
    <w:rsid w:val="00E450EB"/>
    <w:rsid w:val="00E5432D"/>
    <w:rsid w:val="00E61359"/>
    <w:rsid w:val="00E619A0"/>
    <w:rsid w:val="00E634FB"/>
    <w:rsid w:val="00E664E9"/>
    <w:rsid w:val="00E67BFF"/>
    <w:rsid w:val="00E71CD5"/>
    <w:rsid w:val="00E7338B"/>
    <w:rsid w:val="00E738AD"/>
    <w:rsid w:val="00E7559E"/>
    <w:rsid w:val="00E77081"/>
    <w:rsid w:val="00E83AC6"/>
    <w:rsid w:val="00E8403B"/>
    <w:rsid w:val="00E84E07"/>
    <w:rsid w:val="00E8686A"/>
    <w:rsid w:val="00E91F45"/>
    <w:rsid w:val="00E92A99"/>
    <w:rsid w:val="00E92AAE"/>
    <w:rsid w:val="00E94EE7"/>
    <w:rsid w:val="00E96EB8"/>
    <w:rsid w:val="00EA0005"/>
    <w:rsid w:val="00EA0C63"/>
    <w:rsid w:val="00EA203C"/>
    <w:rsid w:val="00EA21A8"/>
    <w:rsid w:val="00EA42C9"/>
    <w:rsid w:val="00EA5257"/>
    <w:rsid w:val="00EB0207"/>
    <w:rsid w:val="00EB2CDA"/>
    <w:rsid w:val="00EB3E12"/>
    <w:rsid w:val="00EB6DEF"/>
    <w:rsid w:val="00EC335D"/>
    <w:rsid w:val="00EC3E27"/>
    <w:rsid w:val="00EC74BA"/>
    <w:rsid w:val="00ED08AF"/>
    <w:rsid w:val="00ED2278"/>
    <w:rsid w:val="00ED4202"/>
    <w:rsid w:val="00ED4DAE"/>
    <w:rsid w:val="00ED6728"/>
    <w:rsid w:val="00ED7305"/>
    <w:rsid w:val="00ED7887"/>
    <w:rsid w:val="00ED7F80"/>
    <w:rsid w:val="00EE2AA2"/>
    <w:rsid w:val="00EE3632"/>
    <w:rsid w:val="00EE37AC"/>
    <w:rsid w:val="00EE6127"/>
    <w:rsid w:val="00EE6CDF"/>
    <w:rsid w:val="00EE76D5"/>
    <w:rsid w:val="00EF2FE5"/>
    <w:rsid w:val="00EF3495"/>
    <w:rsid w:val="00EF42F1"/>
    <w:rsid w:val="00EF5604"/>
    <w:rsid w:val="00EF577E"/>
    <w:rsid w:val="00F01B92"/>
    <w:rsid w:val="00F01E24"/>
    <w:rsid w:val="00F024F1"/>
    <w:rsid w:val="00F0376C"/>
    <w:rsid w:val="00F10A71"/>
    <w:rsid w:val="00F12209"/>
    <w:rsid w:val="00F14532"/>
    <w:rsid w:val="00F14DB8"/>
    <w:rsid w:val="00F155B5"/>
    <w:rsid w:val="00F166B2"/>
    <w:rsid w:val="00F16D48"/>
    <w:rsid w:val="00F209EB"/>
    <w:rsid w:val="00F2123C"/>
    <w:rsid w:val="00F213CF"/>
    <w:rsid w:val="00F214DA"/>
    <w:rsid w:val="00F24185"/>
    <w:rsid w:val="00F2524B"/>
    <w:rsid w:val="00F25E81"/>
    <w:rsid w:val="00F26E40"/>
    <w:rsid w:val="00F315CF"/>
    <w:rsid w:val="00F33336"/>
    <w:rsid w:val="00F36AD1"/>
    <w:rsid w:val="00F40419"/>
    <w:rsid w:val="00F41052"/>
    <w:rsid w:val="00F4144A"/>
    <w:rsid w:val="00F41831"/>
    <w:rsid w:val="00F43241"/>
    <w:rsid w:val="00F43C47"/>
    <w:rsid w:val="00F500EC"/>
    <w:rsid w:val="00F56331"/>
    <w:rsid w:val="00F6046A"/>
    <w:rsid w:val="00F608F8"/>
    <w:rsid w:val="00F60EE7"/>
    <w:rsid w:val="00F6483C"/>
    <w:rsid w:val="00F65F82"/>
    <w:rsid w:val="00F70D7B"/>
    <w:rsid w:val="00F719C0"/>
    <w:rsid w:val="00F72E1B"/>
    <w:rsid w:val="00F74EA0"/>
    <w:rsid w:val="00F75FBA"/>
    <w:rsid w:val="00F76018"/>
    <w:rsid w:val="00F77290"/>
    <w:rsid w:val="00F776DB"/>
    <w:rsid w:val="00F77C41"/>
    <w:rsid w:val="00F81BF6"/>
    <w:rsid w:val="00F821F7"/>
    <w:rsid w:val="00F85C3C"/>
    <w:rsid w:val="00F864A3"/>
    <w:rsid w:val="00F8751E"/>
    <w:rsid w:val="00F90353"/>
    <w:rsid w:val="00F91831"/>
    <w:rsid w:val="00F930D4"/>
    <w:rsid w:val="00F93331"/>
    <w:rsid w:val="00F93B2C"/>
    <w:rsid w:val="00F94EFC"/>
    <w:rsid w:val="00F95958"/>
    <w:rsid w:val="00F95B4C"/>
    <w:rsid w:val="00FA1C1B"/>
    <w:rsid w:val="00FA39AE"/>
    <w:rsid w:val="00FB04C5"/>
    <w:rsid w:val="00FB0784"/>
    <w:rsid w:val="00FB173A"/>
    <w:rsid w:val="00FB2314"/>
    <w:rsid w:val="00FB26BD"/>
    <w:rsid w:val="00FB522A"/>
    <w:rsid w:val="00FB738F"/>
    <w:rsid w:val="00FB7425"/>
    <w:rsid w:val="00FC4D69"/>
    <w:rsid w:val="00FC5505"/>
    <w:rsid w:val="00FC60A6"/>
    <w:rsid w:val="00FC6C9A"/>
    <w:rsid w:val="00FC6CFB"/>
    <w:rsid w:val="00FC6D2D"/>
    <w:rsid w:val="00FC7161"/>
    <w:rsid w:val="00FD0A90"/>
    <w:rsid w:val="00FD19CD"/>
    <w:rsid w:val="00FD2531"/>
    <w:rsid w:val="00FD380C"/>
    <w:rsid w:val="00FE01AA"/>
    <w:rsid w:val="00FE33A2"/>
    <w:rsid w:val="00FE4B42"/>
    <w:rsid w:val="00FE5F39"/>
    <w:rsid w:val="00FE6EB6"/>
    <w:rsid w:val="00FF2AB2"/>
    <w:rsid w:val="00FF4258"/>
    <w:rsid w:val="00FF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F7CEB"/>
  <w15:docId w15:val="{05BD5338-0E50-4D41-8839-0403C251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99"/>
    <w:rPr>
      <w:rFonts w:ascii="Times New Roman" w:eastAsia="Times New Roman" w:hAnsi="Times New Roman" w:cs="Times New Roman"/>
    </w:rPr>
  </w:style>
  <w:style w:type="paragraph" w:styleId="Heading1">
    <w:name w:val="heading 1"/>
    <w:basedOn w:val="Normal"/>
    <w:next w:val="Normal"/>
    <w:link w:val="Heading1Char"/>
    <w:uiPriority w:val="9"/>
    <w:qFormat/>
    <w:rsid w:val="00ED4DAE"/>
    <w:pPr>
      <w:keepNext/>
      <w:keepLines/>
      <w:spacing w:before="240" w:line="480" w:lineRule="auto"/>
      <w:outlineLvl w:val="0"/>
    </w:pPr>
    <w:rPr>
      <w:rFonts w:ascii="Times" w:eastAsiaTheme="majorEastAsia" w:hAnsi="Times" w:cstheme="majorBidi"/>
      <w:b/>
      <w:color w:val="000000" w:themeColor="text1"/>
      <w:szCs w:val="32"/>
    </w:rPr>
  </w:style>
  <w:style w:type="paragraph" w:styleId="Heading2">
    <w:name w:val="heading 2"/>
    <w:basedOn w:val="Normal"/>
    <w:next w:val="Normal"/>
    <w:link w:val="Heading2Char"/>
    <w:uiPriority w:val="9"/>
    <w:unhideWhenUsed/>
    <w:qFormat/>
    <w:rsid w:val="00ED4DAE"/>
    <w:pPr>
      <w:keepNext/>
      <w:keepLines/>
      <w:spacing w:before="40" w:line="480" w:lineRule="auto"/>
      <w:outlineLvl w:val="1"/>
    </w:pPr>
    <w:rPr>
      <w:rFonts w:ascii="Times" w:eastAsiaTheme="majorEastAsia" w:hAnsi="Times"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5A0"/>
    <w:rPr>
      <w:rFonts w:eastAsiaTheme="minorHAnsi"/>
      <w:sz w:val="18"/>
      <w:szCs w:val="18"/>
    </w:rPr>
  </w:style>
  <w:style w:type="character" w:customStyle="1" w:styleId="BalloonTextChar">
    <w:name w:val="Balloon Text Char"/>
    <w:basedOn w:val="DefaultParagraphFont"/>
    <w:link w:val="BalloonText"/>
    <w:uiPriority w:val="99"/>
    <w:semiHidden/>
    <w:rsid w:val="00CB15A0"/>
    <w:rPr>
      <w:rFonts w:ascii="Times New Roman" w:hAnsi="Times New Roman" w:cs="Times New Roman"/>
      <w:sz w:val="18"/>
      <w:szCs w:val="18"/>
    </w:rPr>
  </w:style>
  <w:style w:type="paragraph" w:styleId="ListParagraph">
    <w:name w:val="List Paragraph"/>
    <w:basedOn w:val="Normal"/>
    <w:uiPriority w:val="34"/>
    <w:qFormat/>
    <w:rsid w:val="00C17DCB"/>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C97670"/>
    <w:rPr>
      <w:sz w:val="16"/>
      <w:szCs w:val="16"/>
    </w:rPr>
  </w:style>
  <w:style w:type="paragraph" w:styleId="CommentText">
    <w:name w:val="annotation text"/>
    <w:basedOn w:val="Normal"/>
    <w:link w:val="CommentTextChar"/>
    <w:uiPriority w:val="99"/>
    <w:unhideWhenUsed/>
    <w:rsid w:val="00C9767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97670"/>
    <w:rPr>
      <w:sz w:val="20"/>
      <w:szCs w:val="20"/>
    </w:rPr>
  </w:style>
  <w:style w:type="paragraph" w:styleId="CommentSubject">
    <w:name w:val="annotation subject"/>
    <w:basedOn w:val="CommentText"/>
    <w:next w:val="CommentText"/>
    <w:link w:val="CommentSubjectChar"/>
    <w:uiPriority w:val="99"/>
    <w:semiHidden/>
    <w:unhideWhenUsed/>
    <w:rsid w:val="00C97670"/>
    <w:rPr>
      <w:b/>
      <w:bCs/>
    </w:rPr>
  </w:style>
  <w:style w:type="character" w:customStyle="1" w:styleId="CommentSubjectChar">
    <w:name w:val="Comment Subject Char"/>
    <w:basedOn w:val="CommentTextChar"/>
    <w:link w:val="CommentSubject"/>
    <w:uiPriority w:val="99"/>
    <w:semiHidden/>
    <w:rsid w:val="00C97670"/>
    <w:rPr>
      <w:b/>
      <w:bCs/>
      <w:sz w:val="20"/>
      <w:szCs w:val="20"/>
    </w:rPr>
  </w:style>
  <w:style w:type="character" w:styleId="Hyperlink">
    <w:name w:val="Hyperlink"/>
    <w:basedOn w:val="DefaultParagraphFont"/>
    <w:uiPriority w:val="99"/>
    <w:unhideWhenUsed/>
    <w:rsid w:val="00691131"/>
    <w:rPr>
      <w:color w:val="0563C1" w:themeColor="hyperlink"/>
      <w:u w:val="single"/>
    </w:rPr>
  </w:style>
  <w:style w:type="character" w:customStyle="1" w:styleId="UnresolvedMention1">
    <w:name w:val="Unresolved Mention1"/>
    <w:basedOn w:val="DefaultParagraphFont"/>
    <w:uiPriority w:val="99"/>
    <w:semiHidden/>
    <w:unhideWhenUsed/>
    <w:rsid w:val="00691131"/>
    <w:rPr>
      <w:color w:val="605E5C"/>
      <w:shd w:val="clear" w:color="auto" w:fill="E1DFDD"/>
    </w:rPr>
  </w:style>
  <w:style w:type="paragraph" w:styleId="NoSpacing">
    <w:name w:val="No Spacing"/>
    <w:link w:val="NoSpacingChar"/>
    <w:uiPriority w:val="1"/>
    <w:qFormat/>
    <w:rsid w:val="005363E9"/>
    <w:rPr>
      <w:sz w:val="22"/>
      <w:szCs w:val="22"/>
    </w:rPr>
  </w:style>
  <w:style w:type="character" w:customStyle="1" w:styleId="NoSpacingChar">
    <w:name w:val="No Spacing Char"/>
    <w:basedOn w:val="DefaultParagraphFont"/>
    <w:link w:val="NoSpacing"/>
    <w:uiPriority w:val="1"/>
    <w:rsid w:val="005363E9"/>
    <w:rPr>
      <w:sz w:val="22"/>
      <w:szCs w:val="22"/>
    </w:rPr>
  </w:style>
  <w:style w:type="character" w:styleId="FollowedHyperlink">
    <w:name w:val="FollowedHyperlink"/>
    <w:basedOn w:val="DefaultParagraphFont"/>
    <w:uiPriority w:val="99"/>
    <w:semiHidden/>
    <w:unhideWhenUsed/>
    <w:rsid w:val="00EC3E27"/>
    <w:rPr>
      <w:color w:val="954F72" w:themeColor="followedHyperlink"/>
      <w:u w:val="single"/>
    </w:rPr>
  </w:style>
  <w:style w:type="paragraph" w:customStyle="1" w:styleId="Default">
    <w:name w:val="Default"/>
    <w:rsid w:val="0067439C"/>
    <w:pPr>
      <w:autoSpaceDE w:val="0"/>
      <w:autoSpaceDN w:val="0"/>
      <w:adjustRightInd w:val="0"/>
    </w:pPr>
    <w:rPr>
      <w:rFonts w:ascii="Open Sans" w:hAnsi="Open Sans" w:cs="Open Sans"/>
      <w:color w:val="000000"/>
    </w:rPr>
  </w:style>
  <w:style w:type="paragraph" w:customStyle="1" w:styleId="skip-numbering">
    <w:name w:val="skip-numbering"/>
    <w:basedOn w:val="Normal"/>
    <w:rsid w:val="00A0040B"/>
    <w:pPr>
      <w:spacing w:before="100" w:beforeAutospacing="1" w:after="100" w:afterAutospacing="1"/>
    </w:pPr>
  </w:style>
  <w:style w:type="paragraph" w:styleId="NormalWeb">
    <w:name w:val="Normal (Web)"/>
    <w:basedOn w:val="Normal"/>
    <w:uiPriority w:val="99"/>
    <w:semiHidden/>
    <w:unhideWhenUsed/>
    <w:rsid w:val="00747727"/>
    <w:pPr>
      <w:spacing w:before="100" w:beforeAutospacing="1" w:after="100" w:afterAutospacing="1"/>
    </w:pPr>
  </w:style>
  <w:style w:type="character" w:customStyle="1" w:styleId="referencesauthors">
    <w:name w:val="references__authors"/>
    <w:basedOn w:val="DefaultParagraphFont"/>
    <w:rsid w:val="00B21573"/>
  </w:style>
  <w:style w:type="character" w:customStyle="1" w:styleId="referencesarticle-title">
    <w:name w:val="references__article-title"/>
    <w:basedOn w:val="DefaultParagraphFont"/>
    <w:rsid w:val="00B21573"/>
  </w:style>
  <w:style w:type="character" w:styleId="Strong">
    <w:name w:val="Strong"/>
    <w:basedOn w:val="DefaultParagraphFont"/>
    <w:uiPriority w:val="22"/>
    <w:qFormat/>
    <w:rsid w:val="00B21573"/>
    <w:rPr>
      <w:b/>
      <w:bCs/>
    </w:rPr>
  </w:style>
  <w:style w:type="character" w:customStyle="1" w:styleId="referencesyear">
    <w:name w:val="references__year"/>
    <w:basedOn w:val="DefaultParagraphFont"/>
    <w:rsid w:val="00B21573"/>
  </w:style>
  <w:style w:type="character" w:customStyle="1" w:styleId="ng-binding">
    <w:name w:val="ng-binding"/>
    <w:basedOn w:val="DefaultParagraphFont"/>
    <w:rsid w:val="001149FF"/>
  </w:style>
  <w:style w:type="table" w:styleId="TableGrid">
    <w:name w:val="Table Grid"/>
    <w:basedOn w:val="TableNormal"/>
    <w:uiPriority w:val="39"/>
    <w:rsid w:val="00D01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A28E2"/>
    <w:rPr>
      <w:i/>
      <w:iCs/>
    </w:rPr>
  </w:style>
  <w:style w:type="table" w:styleId="PlainTable3">
    <w:name w:val="Plain Table 3"/>
    <w:basedOn w:val="TableNormal"/>
    <w:uiPriority w:val="43"/>
    <w:rsid w:val="00A022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022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664D63"/>
  </w:style>
  <w:style w:type="paragraph" w:styleId="Revision">
    <w:name w:val="Revision"/>
    <w:hidden/>
    <w:uiPriority w:val="99"/>
    <w:semiHidden/>
    <w:rsid w:val="00687FDE"/>
  </w:style>
  <w:style w:type="character" w:styleId="UnresolvedMention">
    <w:name w:val="Unresolved Mention"/>
    <w:basedOn w:val="DefaultParagraphFont"/>
    <w:uiPriority w:val="99"/>
    <w:semiHidden/>
    <w:unhideWhenUsed/>
    <w:rsid w:val="00A662B2"/>
    <w:rPr>
      <w:color w:val="605E5C"/>
      <w:shd w:val="clear" w:color="auto" w:fill="E1DFDD"/>
    </w:rPr>
  </w:style>
  <w:style w:type="paragraph" w:customStyle="1" w:styleId="EndNoteBibliographyTitle">
    <w:name w:val="EndNote Bibliography Title"/>
    <w:basedOn w:val="Normal"/>
    <w:link w:val="EndNoteBibliographyTitleChar"/>
    <w:rsid w:val="00281833"/>
    <w:pPr>
      <w:jc w:val="center"/>
    </w:pPr>
    <w:rPr>
      <w:rFonts w:ascii="Calibri" w:eastAsiaTheme="minorHAnsi" w:hAnsi="Calibri" w:cs="Calibri"/>
    </w:rPr>
  </w:style>
  <w:style w:type="character" w:customStyle="1" w:styleId="EndNoteBibliographyTitleChar">
    <w:name w:val="EndNote Bibliography Title Char"/>
    <w:basedOn w:val="DefaultParagraphFont"/>
    <w:link w:val="EndNoteBibliographyTitle"/>
    <w:rsid w:val="00281833"/>
    <w:rPr>
      <w:rFonts w:ascii="Calibri" w:hAnsi="Calibri" w:cs="Calibri"/>
    </w:rPr>
  </w:style>
  <w:style w:type="paragraph" w:customStyle="1" w:styleId="EndNoteBibliography">
    <w:name w:val="EndNote Bibliography"/>
    <w:basedOn w:val="Normal"/>
    <w:link w:val="EndNoteBibliographyChar"/>
    <w:rsid w:val="00281833"/>
    <w:rPr>
      <w:rFonts w:ascii="Calibri" w:eastAsiaTheme="minorHAnsi" w:hAnsi="Calibri" w:cs="Calibri"/>
    </w:rPr>
  </w:style>
  <w:style w:type="character" w:customStyle="1" w:styleId="EndNoteBibliographyChar">
    <w:name w:val="EndNote Bibliography Char"/>
    <w:basedOn w:val="DefaultParagraphFont"/>
    <w:link w:val="EndNoteBibliography"/>
    <w:rsid w:val="00281833"/>
    <w:rPr>
      <w:rFonts w:ascii="Calibri" w:hAnsi="Calibri" w:cs="Calibri"/>
    </w:rPr>
  </w:style>
  <w:style w:type="paragraph" w:styleId="Header">
    <w:name w:val="header"/>
    <w:basedOn w:val="Normal"/>
    <w:link w:val="HeaderChar"/>
    <w:uiPriority w:val="99"/>
    <w:unhideWhenUsed/>
    <w:rsid w:val="005150C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50CD"/>
  </w:style>
  <w:style w:type="paragraph" w:styleId="Footer">
    <w:name w:val="footer"/>
    <w:basedOn w:val="Normal"/>
    <w:link w:val="FooterChar"/>
    <w:uiPriority w:val="99"/>
    <w:unhideWhenUsed/>
    <w:rsid w:val="005150C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50CD"/>
  </w:style>
  <w:style w:type="character" w:styleId="PageNumber">
    <w:name w:val="page number"/>
    <w:basedOn w:val="DefaultParagraphFont"/>
    <w:uiPriority w:val="99"/>
    <w:semiHidden/>
    <w:unhideWhenUsed/>
    <w:rsid w:val="005150CD"/>
  </w:style>
  <w:style w:type="character" w:customStyle="1" w:styleId="Heading1Char">
    <w:name w:val="Heading 1 Char"/>
    <w:basedOn w:val="DefaultParagraphFont"/>
    <w:link w:val="Heading1"/>
    <w:uiPriority w:val="9"/>
    <w:rsid w:val="00ED4DAE"/>
    <w:rPr>
      <w:rFonts w:ascii="Times" w:eastAsiaTheme="majorEastAsia" w:hAnsi="Times" w:cstheme="majorBidi"/>
      <w:b/>
      <w:color w:val="000000" w:themeColor="text1"/>
      <w:szCs w:val="32"/>
    </w:rPr>
  </w:style>
  <w:style w:type="paragraph" w:customStyle="1" w:styleId="Section">
    <w:name w:val="Section"/>
    <w:basedOn w:val="Heading1"/>
    <w:qFormat/>
    <w:rsid w:val="00ED4DAE"/>
  </w:style>
  <w:style w:type="character" w:customStyle="1" w:styleId="Heading2Char">
    <w:name w:val="Heading 2 Char"/>
    <w:basedOn w:val="DefaultParagraphFont"/>
    <w:link w:val="Heading2"/>
    <w:uiPriority w:val="9"/>
    <w:rsid w:val="00ED4DAE"/>
    <w:rPr>
      <w:rFonts w:ascii="Times" w:eastAsiaTheme="majorEastAsia" w:hAnsi="Times" w:cstheme="majorBidi"/>
      <w:color w:val="000000" w:themeColor="text1"/>
      <w:szCs w:val="26"/>
      <w:u w:val="single"/>
    </w:rPr>
  </w:style>
  <w:style w:type="table" w:styleId="TableGridLight">
    <w:name w:val="Grid Table Light"/>
    <w:basedOn w:val="TableNormal"/>
    <w:uiPriority w:val="40"/>
    <w:rsid w:val="00126C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082912"/>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4">
    <w:name w:val="Plain Table 4"/>
    <w:basedOn w:val="TableNormal"/>
    <w:uiPriority w:val="44"/>
    <w:rsid w:val="00F72E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960E1C"/>
    <w:pPr>
      <w:tabs>
        <w:tab w:val="left" w:pos="264"/>
      </w:tabs>
      <w:spacing w:after="240"/>
      <w:ind w:left="264" w:hanging="264"/>
    </w:pPr>
  </w:style>
  <w:style w:type="table" w:styleId="PlainTable1">
    <w:name w:val="Plain Table 1"/>
    <w:basedOn w:val="TableNormal"/>
    <w:uiPriority w:val="41"/>
    <w:rsid w:val="00C332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344">
      <w:bodyDiv w:val="1"/>
      <w:marLeft w:val="0"/>
      <w:marRight w:val="0"/>
      <w:marTop w:val="0"/>
      <w:marBottom w:val="0"/>
      <w:divBdr>
        <w:top w:val="none" w:sz="0" w:space="0" w:color="auto"/>
        <w:left w:val="none" w:sz="0" w:space="0" w:color="auto"/>
        <w:bottom w:val="none" w:sz="0" w:space="0" w:color="auto"/>
        <w:right w:val="none" w:sz="0" w:space="0" w:color="auto"/>
      </w:divBdr>
    </w:div>
    <w:div w:id="176895280">
      <w:bodyDiv w:val="1"/>
      <w:marLeft w:val="0"/>
      <w:marRight w:val="0"/>
      <w:marTop w:val="0"/>
      <w:marBottom w:val="0"/>
      <w:divBdr>
        <w:top w:val="none" w:sz="0" w:space="0" w:color="auto"/>
        <w:left w:val="none" w:sz="0" w:space="0" w:color="auto"/>
        <w:bottom w:val="none" w:sz="0" w:space="0" w:color="auto"/>
        <w:right w:val="none" w:sz="0" w:space="0" w:color="auto"/>
      </w:divBdr>
    </w:div>
    <w:div w:id="181091873">
      <w:bodyDiv w:val="1"/>
      <w:marLeft w:val="0"/>
      <w:marRight w:val="0"/>
      <w:marTop w:val="0"/>
      <w:marBottom w:val="0"/>
      <w:divBdr>
        <w:top w:val="none" w:sz="0" w:space="0" w:color="auto"/>
        <w:left w:val="none" w:sz="0" w:space="0" w:color="auto"/>
        <w:bottom w:val="none" w:sz="0" w:space="0" w:color="auto"/>
        <w:right w:val="none" w:sz="0" w:space="0" w:color="auto"/>
      </w:divBdr>
    </w:div>
    <w:div w:id="305933928">
      <w:bodyDiv w:val="1"/>
      <w:marLeft w:val="0"/>
      <w:marRight w:val="0"/>
      <w:marTop w:val="0"/>
      <w:marBottom w:val="0"/>
      <w:divBdr>
        <w:top w:val="none" w:sz="0" w:space="0" w:color="auto"/>
        <w:left w:val="none" w:sz="0" w:space="0" w:color="auto"/>
        <w:bottom w:val="none" w:sz="0" w:space="0" w:color="auto"/>
        <w:right w:val="none" w:sz="0" w:space="0" w:color="auto"/>
      </w:divBdr>
    </w:div>
    <w:div w:id="318969412">
      <w:bodyDiv w:val="1"/>
      <w:marLeft w:val="0"/>
      <w:marRight w:val="0"/>
      <w:marTop w:val="0"/>
      <w:marBottom w:val="0"/>
      <w:divBdr>
        <w:top w:val="none" w:sz="0" w:space="0" w:color="auto"/>
        <w:left w:val="none" w:sz="0" w:space="0" w:color="auto"/>
        <w:bottom w:val="none" w:sz="0" w:space="0" w:color="auto"/>
        <w:right w:val="none" w:sz="0" w:space="0" w:color="auto"/>
      </w:divBdr>
    </w:div>
    <w:div w:id="396053671">
      <w:bodyDiv w:val="1"/>
      <w:marLeft w:val="0"/>
      <w:marRight w:val="0"/>
      <w:marTop w:val="0"/>
      <w:marBottom w:val="0"/>
      <w:divBdr>
        <w:top w:val="none" w:sz="0" w:space="0" w:color="auto"/>
        <w:left w:val="none" w:sz="0" w:space="0" w:color="auto"/>
        <w:bottom w:val="none" w:sz="0" w:space="0" w:color="auto"/>
        <w:right w:val="none" w:sz="0" w:space="0" w:color="auto"/>
      </w:divBdr>
    </w:div>
    <w:div w:id="481385819">
      <w:bodyDiv w:val="1"/>
      <w:marLeft w:val="0"/>
      <w:marRight w:val="0"/>
      <w:marTop w:val="0"/>
      <w:marBottom w:val="0"/>
      <w:divBdr>
        <w:top w:val="none" w:sz="0" w:space="0" w:color="auto"/>
        <w:left w:val="none" w:sz="0" w:space="0" w:color="auto"/>
        <w:bottom w:val="none" w:sz="0" w:space="0" w:color="auto"/>
        <w:right w:val="none" w:sz="0" w:space="0" w:color="auto"/>
      </w:divBdr>
    </w:div>
    <w:div w:id="532422603">
      <w:bodyDiv w:val="1"/>
      <w:marLeft w:val="0"/>
      <w:marRight w:val="0"/>
      <w:marTop w:val="0"/>
      <w:marBottom w:val="0"/>
      <w:divBdr>
        <w:top w:val="none" w:sz="0" w:space="0" w:color="auto"/>
        <w:left w:val="none" w:sz="0" w:space="0" w:color="auto"/>
        <w:bottom w:val="none" w:sz="0" w:space="0" w:color="auto"/>
        <w:right w:val="none" w:sz="0" w:space="0" w:color="auto"/>
      </w:divBdr>
      <w:divsChild>
        <w:div w:id="116532384">
          <w:marLeft w:val="0"/>
          <w:marRight w:val="0"/>
          <w:marTop w:val="0"/>
          <w:marBottom w:val="0"/>
          <w:divBdr>
            <w:top w:val="none" w:sz="0" w:space="0" w:color="auto"/>
            <w:left w:val="none" w:sz="0" w:space="0" w:color="auto"/>
            <w:bottom w:val="none" w:sz="0" w:space="0" w:color="auto"/>
            <w:right w:val="none" w:sz="0" w:space="0" w:color="auto"/>
          </w:divBdr>
        </w:div>
      </w:divsChild>
    </w:div>
    <w:div w:id="653491706">
      <w:bodyDiv w:val="1"/>
      <w:marLeft w:val="0"/>
      <w:marRight w:val="0"/>
      <w:marTop w:val="0"/>
      <w:marBottom w:val="0"/>
      <w:divBdr>
        <w:top w:val="none" w:sz="0" w:space="0" w:color="auto"/>
        <w:left w:val="none" w:sz="0" w:space="0" w:color="auto"/>
        <w:bottom w:val="none" w:sz="0" w:space="0" w:color="auto"/>
        <w:right w:val="none" w:sz="0" w:space="0" w:color="auto"/>
      </w:divBdr>
    </w:div>
    <w:div w:id="668213014">
      <w:bodyDiv w:val="1"/>
      <w:marLeft w:val="0"/>
      <w:marRight w:val="0"/>
      <w:marTop w:val="0"/>
      <w:marBottom w:val="0"/>
      <w:divBdr>
        <w:top w:val="none" w:sz="0" w:space="0" w:color="auto"/>
        <w:left w:val="none" w:sz="0" w:space="0" w:color="auto"/>
        <w:bottom w:val="none" w:sz="0" w:space="0" w:color="auto"/>
        <w:right w:val="none" w:sz="0" w:space="0" w:color="auto"/>
      </w:divBdr>
    </w:div>
    <w:div w:id="722212563">
      <w:bodyDiv w:val="1"/>
      <w:marLeft w:val="0"/>
      <w:marRight w:val="0"/>
      <w:marTop w:val="0"/>
      <w:marBottom w:val="0"/>
      <w:divBdr>
        <w:top w:val="none" w:sz="0" w:space="0" w:color="auto"/>
        <w:left w:val="none" w:sz="0" w:space="0" w:color="auto"/>
        <w:bottom w:val="none" w:sz="0" w:space="0" w:color="auto"/>
        <w:right w:val="none" w:sz="0" w:space="0" w:color="auto"/>
      </w:divBdr>
    </w:div>
    <w:div w:id="735321592">
      <w:bodyDiv w:val="1"/>
      <w:marLeft w:val="0"/>
      <w:marRight w:val="0"/>
      <w:marTop w:val="0"/>
      <w:marBottom w:val="0"/>
      <w:divBdr>
        <w:top w:val="none" w:sz="0" w:space="0" w:color="auto"/>
        <w:left w:val="none" w:sz="0" w:space="0" w:color="auto"/>
        <w:bottom w:val="none" w:sz="0" w:space="0" w:color="auto"/>
        <w:right w:val="none" w:sz="0" w:space="0" w:color="auto"/>
      </w:divBdr>
    </w:div>
    <w:div w:id="802234908">
      <w:bodyDiv w:val="1"/>
      <w:marLeft w:val="0"/>
      <w:marRight w:val="0"/>
      <w:marTop w:val="0"/>
      <w:marBottom w:val="0"/>
      <w:divBdr>
        <w:top w:val="none" w:sz="0" w:space="0" w:color="auto"/>
        <w:left w:val="none" w:sz="0" w:space="0" w:color="auto"/>
        <w:bottom w:val="none" w:sz="0" w:space="0" w:color="auto"/>
        <w:right w:val="none" w:sz="0" w:space="0" w:color="auto"/>
      </w:divBdr>
    </w:div>
    <w:div w:id="835919247">
      <w:bodyDiv w:val="1"/>
      <w:marLeft w:val="0"/>
      <w:marRight w:val="0"/>
      <w:marTop w:val="0"/>
      <w:marBottom w:val="0"/>
      <w:divBdr>
        <w:top w:val="none" w:sz="0" w:space="0" w:color="auto"/>
        <w:left w:val="none" w:sz="0" w:space="0" w:color="auto"/>
        <w:bottom w:val="none" w:sz="0" w:space="0" w:color="auto"/>
        <w:right w:val="none" w:sz="0" w:space="0" w:color="auto"/>
      </w:divBdr>
    </w:div>
    <w:div w:id="854998801">
      <w:bodyDiv w:val="1"/>
      <w:marLeft w:val="0"/>
      <w:marRight w:val="0"/>
      <w:marTop w:val="0"/>
      <w:marBottom w:val="0"/>
      <w:divBdr>
        <w:top w:val="none" w:sz="0" w:space="0" w:color="auto"/>
        <w:left w:val="none" w:sz="0" w:space="0" w:color="auto"/>
        <w:bottom w:val="none" w:sz="0" w:space="0" w:color="auto"/>
        <w:right w:val="none" w:sz="0" w:space="0" w:color="auto"/>
      </w:divBdr>
    </w:div>
    <w:div w:id="897129824">
      <w:bodyDiv w:val="1"/>
      <w:marLeft w:val="0"/>
      <w:marRight w:val="0"/>
      <w:marTop w:val="0"/>
      <w:marBottom w:val="0"/>
      <w:divBdr>
        <w:top w:val="none" w:sz="0" w:space="0" w:color="auto"/>
        <w:left w:val="none" w:sz="0" w:space="0" w:color="auto"/>
        <w:bottom w:val="none" w:sz="0" w:space="0" w:color="auto"/>
        <w:right w:val="none" w:sz="0" w:space="0" w:color="auto"/>
      </w:divBdr>
    </w:div>
    <w:div w:id="926227388">
      <w:bodyDiv w:val="1"/>
      <w:marLeft w:val="0"/>
      <w:marRight w:val="0"/>
      <w:marTop w:val="0"/>
      <w:marBottom w:val="0"/>
      <w:divBdr>
        <w:top w:val="none" w:sz="0" w:space="0" w:color="auto"/>
        <w:left w:val="none" w:sz="0" w:space="0" w:color="auto"/>
        <w:bottom w:val="none" w:sz="0" w:space="0" w:color="auto"/>
        <w:right w:val="none" w:sz="0" w:space="0" w:color="auto"/>
      </w:divBdr>
    </w:div>
    <w:div w:id="935792621">
      <w:bodyDiv w:val="1"/>
      <w:marLeft w:val="0"/>
      <w:marRight w:val="0"/>
      <w:marTop w:val="0"/>
      <w:marBottom w:val="0"/>
      <w:divBdr>
        <w:top w:val="none" w:sz="0" w:space="0" w:color="auto"/>
        <w:left w:val="none" w:sz="0" w:space="0" w:color="auto"/>
        <w:bottom w:val="none" w:sz="0" w:space="0" w:color="auto"/>
        <w:right w:val="none" w:sz="0" w:space="0" w:color="auto"/>
      </w:divBdr>
    </w:div>
    <w:div w:id="946814927">
      <w:bodyDiv w:val="1"/>
      <w:marLeft w:val="0"/>
      <w:marRight w:val="0"/>
      <w:marTop w:val="0"/>
      <w:marBottom w:val="0"/>
      <w:divBdr>
        <w:top w:val="none" w:sz="0" w:space="0" w:color="auto"/>
        <w:left w:val="none" w:sz="0" w:space="0" w:color="auto"/>
        <w:bottom w:val="none" w:sz="0" w:space="0" w:color="auto"/>
        <w:right w:val="none" w:sz="0" w:space="0" w:color="auto"/>
      </w:divBdr>
    </w:div>
    <w:div w:id="954562339">
      <w:bodyDiv w:val="1"/>
      <w:marLeft w:val="0"/>
      <w:marRight w:val="0"/>
      <w:marTop w:val="0"/>
      <w:marBottom w:val="0"/>
      <w:divBdr>
        <w:top w:val="none" w:sz="0" w:space="0" w:color="auto"/>
        <w:left w:val="none" w:sz="0" w:space="0" w:color="auto"/>
        <w:bottom w:val="none" w:sz="0" w:space="0" w:color="auto"/>
        <w:right w:val="none" w:sz="0" w:space="0" w:color="auto"/>
      </w:divBdr>
    </w:div>
    <w:div w:id="960918500">
      <w:bodyDiv w:val="1"/>
      <w:marLeft w:val="0"/>
      <w:marRight w:val="0"/>
      <w:marTop w:val="0"/>
      <w:marBottom w:val="0"/>
      <w:divBdr>
        <w:top w:val="none" w:sz="0" w:space="0" w:color="auto"/>
        <w:left w:val="none" w:sz="0" w:space="0" w:color="auto"/>
        <w:bottom w:val="none" w:sz="0" w:space="0" w:color="auto"/>
        <w:right w:val="none" w:sz="0" w:space="0" w:color="auto"/>
      </w:divBdr>
    </w:div>
    <w:div w:id="974065050">
      <w:bodyDiv w:val="1"/>
      <w:marLeft w:val="0"/>
      <w:marRight w:val="0"/>
      <w:marTop w:val="0"/>
      <w:marBottom w:val="0"/>
      <w:divBdr>
        <w:top w:val="none" w:sz="0" w:space="0" w:color="auto"/>
        <w:left w:val="none" w:sz="0" w:space="0" w:color="auto"/>
        <w:bottom w:val="none" w:sz="0" w:space="0" w:color="auto"/>
        <w:right w:val="none" w:sz="0" w:space="0" w:color="auto"/>
      </w:divBdr>
    </w:div>
    <w:div w:id="1069963899">
      <w:bodyDiv w:val="1"/>
      <w:marLeft w:val="0"/>
      <w:marRight w:val="0"/>
      <w:marTop w:val="0"/>
      <w:marBottom w:val="0"/>
      <w:divBdr>
        <w:top w:val="none" w:sz="0" w:space="0" w:color="auto"/>
        <w:left w:val="none" w:sz="0" w:space="0" w:color="auto"/>
        <w:bottom w:val="none" w:sz="0" w:space="0" w:color="auto"/>
        <w:right w:val="none" w:sz="0" w:space="0" w:color="auto"/>
      </w:divBdr>
    </w:div>
    <w:div w:id="1078089967">
      <w:bodyDiv w:val="1"/>
      <w:marLeft w:val="0"/>
      <w:marRight w:val="0"/>
      <w:marTop w:val="0"/>
      <w:marBottom w:val="0"/>
      <w:divBdr>
        <w:top w:val="none" w:sz="0" w:space="0" w:color="auto"/>
        <w:left w:val="none" w:sz="0" w:space="0" w:color="auto"/>
        <w:bottom w:val="none" w:sz="0" w:space="0" w:color="auto"/>
        <w:right w:val="none" w:sz="0" w:space="0" w:color="auto"/>
      </w:divBdr>
    </w:div>
    <w:div w:id="1193346663">
      <w:bodyDiv w:val="1"/>
      <w:marLeft w:val="0"/>
      <w:marRight w:val="0"/>
      <w:marTop w:val="0"/>
      <w:marBottom w:val="0"/>
      <w:divBdr>
        <w:top w:val="none" w:sz="0" w:space="0" w:color="auto"/>
        <w:left w:val="none" w:sz="0" w:space="0" w:color="auto"/>
        <w:bottom w:val="none" w:sz="0" w:space="0" w:color="auto"/>
        <w:right w:val="none" w:sz="0" w:space="0" w:color="auto"/>
      </w:divBdr>
    </w:div>
    <w:div w:id="1231380969">
      <w:bodyDiv w:val="1"/>
      <w:marLeft w:val="0"/>
      <w:marRight w:val="0"/>
      <w:marTop w:val="0"/>
      <w:marBottom w:val="0"/>
      <w:divBdr>
        <w:top w:val="none" w:sz="0" w:space="0" w:color="auto"/>
        <w:left w:val="none" w:sz="0" w:space="0" w:color="auto"/>
        <w:bottom w:val="none" w:sz="0" w:space="0" w:color="auto"/>
        <w:right w:val="none" w:sz="0" w:space="0" w:color="auto"/>
      </w:divBdr>
    </w:div>
    <w:div w:id="1245653495">
      <w:bodyDiv w:val="1"/>
      <w:marLeft w:val="0"/>
      <w:marRight w:val="0"/>
      <w:marTop w:val="0"/>
      <w:marBottom w:val="0"/>
      <w:divBdr>
        <w:top w:val="none" w:sz="0" w:space="0" w:color="auto"/>
        <w:left w:val="none" w:sz="0" w:space="0" w:color="auto"/>
        <w:bottom w:val="none" w:sz="0" w:space="0" w:color="auto"/>
        <w:right w:val="none" w:sz="0" w:space="0" w:color="auto"/>
      </w:divBdr>
    </w:div>
    <w:div w:id="1360469791">
      <w:bodyDiv w:val="1"/>
      <w:marLeft w:val="0"/>
      <w:marRight w:val="0"/>
      <w:marTop w:val="0"/>
      <w:marBottom w:val="0"/>
      <w:divBdr>
        <w:top w:val="none" w:sz="0" w:space="0" w:color="auto"/>
        <w:left w:val="none" w:sz="0" w:space="0" w:color="auto"/>
        <w:bottom w:val="none" w:sz="0" w:space="0" w:color="auto"/>
        <w:right w:val="none" w:sz="0" w:space="0" w:color="auto"/>
      </w:divBdr>
    </w:div>
    <w:div w:id="1385594435">
      <w:bodyDiv w:val="1"/>
      <w:marLeft w:val="0"/>
      <w:marRight w:val="0"/>
      <w:marTop w:val="0"/>
      <w:marBottom w:val="0"/>
      <w:divBdr>
        <w:top w:val="none" w:sz="0" w:space="0" w:color="auto"/>
        <w:left w:val="none" w:sz="0" w:space="0" w:color="auto"/>
        <w:bottom w:val="none" w:sz="0" w:space="0" w:color="auto"/>
        <w:right w:val="none" w:sz="0" w:space="0" w:color="auto"/>
      </w:divBdr>
    </w:div>
    <w:div w:id="1488327212">
      <w:bodyDiv w:val="1"/>
      <w:marLeft w:val="0"/>
      <w:marRight w:val="0"/>
      <w:marTop w:val="0"/>
      <w:marBottom w:val="0"/>
      <w:divBdr>
        <w:top w:val="none" w:sz="0" w:space="0" w:color="auto"/>
        <w:left w:val="none" w:sz="0" w:space="0" w:color="auto"/>
        <w:bottom w:val="none" w:sz="0" w:space="0" w:color="auto"/>
        <w:right w:val="none" w:sz="0" w:space="0" w:color="auto"/>
      </w:divBdr>
    </w:div>
    <w:div w:id="1491362535">
      <w:bodyDiv w:val="1"/>
      <w:marLeft w:val="0"/>
      <w:marRight w:val="0"/>
      <w:marTop w:val="0"/>
      <w:marBottom w:val="0"/>
      <w:divBdr>
        <w:top w:val="none" w:sz="0" w:space="0" w:color="auto"/>
        <w:left w:val="none" w:sz="0" w:space="0" w:color="auto"/>
        <w:bottom w:val="none" w:sz="0" w:space="0" w:color="auto"/>
        <w:right w:val="none" w:sz="0" w:space="0" w:color="auto"/>
      </w:divBdr>
    </w:div>
    <w:div w:id="1511524648">
      <w:bodyDiv w:val="1"/>
      <w:marLeft w:val="0"/>
      <w:marRight w:val="0"/>
      <w:marTop w:val="0"/>
      <w:marBottom w:val="0"/>
      <w:divBdr>
        <w:top w:val="none" w:sz="0" w:space="0" w:color="auto"/>
        <w:left w:val="none" w:sz="0" w:space="0" w:color="auto"/>
        <w:bottom w:val="none" w:sz="0" w:space="0" w:color="auto"/>
        <w:right w:val="none" w:sz="0" w:space="0" w:color="auto"/>
      </w:divBdr>
    </w:div>
    <w:div w:id="1680742104">
      <w:bodyDiv w:val="1"/>
      <w:marLeft w:val="0"/>
      <w:marRight w:val="0"/>
      <w:marTop w:val="0"/>
      <w:marBottom w:val="0"/>
      <w:divBdr>
        <w:top w:val="none" w:sz="0" w:space="0" w:color="auto"/>
        <w:left w:val="none" w:sz="0" w:space="0" w:color="auto"/>
        <w:bottom w:val="none" w:sz="0" w:space="0" w:color="auto"/>
        <w:right w:val="none" w:sz="0" w:space="0" w:color="auto"/>
      </w:divBdr>
    </w:div>
    <w:div w:id="1701278135">
      <w:bodyDiv w:val="1"/>
      <w:marLeft w:val="0"/>
      <w:marRight w:val="0"/>
      <w:marTop w:val="0"/>
      <w:marBottom w:val="0"/>
      <w:divBdr>
        <w:top w:val="none" w:sz="0" w:space="0" w:color="auto"/>
        <w:left w:val="none" w:sz="0" w:space="0" w:color="auto"/>
        <w:bottom w:val="none" w:sz="0" w:space="0" w:color="auto"/>
        <w:right w:val="none" w:sz="0" w:space="0" w:color="auto"/>
      </w:divBdr>
    </w:div>
    <w:div w:id="1741709234">
      <w:bodyDiv w:val="1"/>
      <w:marLeft w:val="0"/>
      <w:marRight w:val="0"/>
      <w:marTop w:val="0"/>
      <w:marBottom w:val="0"/>
      <w:divBdr>
        <w:top w:val="none" w:sz="0" w:space="0" w:color="auto"/>
        <w:left w:val="none" w:sz="0" w:space="0" w:color="auto"/>
        <w:bottom w:val="none" w:sz="0" w:space="0" w:color="auto"/>
        <w:right w:val="none" w:sz="0" w:space="0" w:color="auto"/>
      </w:divBdr>
    </w:div>
    <w:div w:id="1818380643">
      <w:bodyDiv w:val="1"/>
      <w:marLeft w:val="0"/>
      <w:marRight w:val="0"/>
      <w:marTop w:val="0"/>
      <w:marBottom w:val="0"/>
      <w:divBdr>
        <w:top w:val="none" w:sz="0" w:space="0" w:color="auto"/>
        <w:left w:val="none" w:sz="0" w:space="0" w:color="auto"/>
        <w:bottom w:val="none" w:sz="0" w:space="0" w:color="auto"/>
        <w:right w:val="none" w:sz="0" w:space="0" w:color="auto"/>
      </w:divBdr>
    </w:div>
    <w:div w:id="1836602826">
      <w:bodyDiv w:val="1"/>
      <w:marLeft w:val="0"/>
      <w:marRight w:val="0"/>
      <w:marTop w:val="0"/>
      <w:marBottom w:val="0"/>
      <w:divBdr>
        <w:top w:val="none" w:sz="0" w:space="0" w:color="auto"/>
        <w:left w:val="none" w:sz="0" w:space="0" w:color="auto"/>
        <w:bottom w:val="none" w:sz="0" w:space="0" w:color="auto"/>
        <w:right w:val="none" w:sz="0" w:space="0" w:color="auto"/>
      </w:divBdr>
    </w:div>
    <w:div w:id="1902209230">
      <w:bodyDiv w:val="1"/>
      <w:marLeft w:val="0"/>
      <w:marRight w:val="0"/>
      <w:marTop w:val="0"/>
      <w:marBottom w:val="0"/>
      <w:divBdr>
        <w:top w:val="none" w:sz="0" w:space="0" w:color="auto"/>
        <w:left w:val="none" w:sz="0" w:space="0" w:color="auto"/>
        <w:bottom w:val="none" w:sz="0" w:space="0" w:color="auto"/>
        <w:right w:val="none" w:sz="0" w:space="0" w:color="auto"/>
      </w:divBdr>
    </w:div>
    <w:div w:id="1904826977">
      <w:bodyDiv w:val="1"/>
      <w:marLeft w:val="0"/>
      <w:marRight w:val="0"/>
      <w:marTop w:val="0"/>
      <w:marBottom w:val="0"/>
      <w:divBdr>
        <w:top w:val="none" w:sz="0" w:space="0" w:color="auto"/>
        <w:left w:val="none" w:sz="0" w:space="0" w:color="auto"/>
        <w:bottom w:val="none" w:sz="0" w:space="0" w:color="auto"/>
        <w:right w:val="none" w:sz="0" w:space="0" w:color="auto"/>
      </w:divBdr>
    </w:div>
    <w:div w:id="1933079156">
      <w:bodyDiv w:val="1"/>
      <w:marLeft w:val="0"/>
      <w:marRight w:val="0"/>
      <w:marTop w:val="0"/>
      <w:marBottom w:val="0"/>
      <w:divBdr>
        <w:top w:val="none" w:sz="0" w:space="0" w:color="auto"/>
        <w:left w:val="none" w:sz="0" w:space="0" w:color="auto"/>
        <w:bottom w:val="none" w:sz="0" w:space="0" w:color="auto"/>
        <w:right w:val="none" w:sz="0" w:space="0" w:color="auto"/>
      </w:divBdr>
    </w:div>
    <w:div w:id="1976329230">
      <w:bodyDiv w:val="1"/>
      <w:marLeft w:val="0"/>
      <w:marRight w:val="0"/>
      <w:marTop w:val="0"/>
      <w:marBottom w:val="0"/>
      <w:divBdr>
        <w:top w:val="none" w:sz="0" w:space="0" w:color="auto"/>
        <w:left w:val="none" w:sz="0" w:space="0" w:color="auto"/>
        <w:bottom w:val="none" w:sz="0" w:space="0" w:color="auto"/>
        <w:right w:val="none" w:sz="0" w:space="0" w:color="auto"/>
      </w:divBdr>
    </w:div>
    <w:div w:id="2035424116">
      <w:bodyDiv w:val="1"/>
      <w:marLeft w:val="0"/>
      <w:marRight w:val="0"/>
      <w:marTop w:val="0"/>
      <w:marBottom w:val="0"/>
      <w:divBdr>
        <w:top w:val="none" w:sz="0" w:space="0" w:color="auto"/>
        <w:left w:val="none" w:sz="0" w:space="0" w:color="auto"/>
        <w:bottom w:val="none" w:sz="0" w:space="0" w:color="auto"/>
        <w:right w:val="none" w:sz="0" w:space="0" w:color="auto"/>
      </w:divBdr>
    </w:div>
    <w:div w:id="2054689804">
      <w:bodyDiv w:val="1"/>
      <w:marLeft w:val="0"/>
      <w:marRight w:val="0"/>
      <w:marTop w:val="0"/>
      <w:marBottom w:val="0"/>
      <w:divBdr>
        <w:top w:val="none" w:sz="0" w:space="0" w:color="auto"/>
        <w:left w:val="none" w:sz="0" w:space="0" w:color="auto"/>
        <w:bottom w:val="none" w:sz="0" w:space="0" w:color="auto"/>
        <w:right w:val="none" w:sz="0" w:space="0" w:color="auto"/>
      </w:divBdr>
    </w:div>
    <w:div w:id="2103641708">
      <w:bodyDiv w:val="1"/>
      <w:marLeft w:val="0"/>
      <w:marRight w:val="0"/>
      <w:marTop w:val="0"/>
      <w:marBottom w:val="0"/>
      <w:divBdr>
        <w:top w:val="none" w:sz="0" w:space="0" w:color="auto"/>
        <w:left w:val="none" w:sz="0" w:space="0" w:color="auto"/>
        <w:bottom w:val="none" w:sz="0" w:space="0" w:color="auto"/>
        <w:right w:val="none" w:sz="0" w:space="0" w:color="auto"/>
      </w:divBdr>
    </w:div>
    <w:div w:id="212803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hbiostat.org/rmsc/genreg.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902CB7-D231-EE4E-AEEE-560FEE34B25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5778D6F4AA9484CBFE345ED272FB77B" ma:contentTypeVersion="5" ma:contentTypeDescription="Create a new document." ma:contentTypeScope="" ma:versionID="0c5e158c574d0217b6bb1d7599997764">
  <xsd:schema xmlns:xsd="http://www.w3.org/2001/XMLSchema" xmlns:xs="http://www.w3.org/2001/XMLSchema" xmlns:p="http://schemas.microsoft.com/office/2006/metadata/properties" xmlns:ns3="fd5247dd-dd13-4f5b-b6c8-d68caf3b6452" targetNamespace="http://schemas.microsoft.com/office/2006/metadata/properties" ma:root="true" ma:fieldsID="44d640c68c733bf5e34af1518884a63a" ns3:_="">
    <xsd:import namespace="fd5247dd-dd13-4f5b-b6c8-d68caf3b64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247dd-dd13-4f5b-b6c8-d68caf3b64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CFCB99-CD98-46C0-A07F-5818BF370A5C}">
  <ds:schemaRefs>
    <ds:schemaRef ds:uri="http://schemas.microsoft.com/sharepoint/v3/contenttype/forms"/>
  </ds:schemaRefs>
</ds:datastoreItem>
</file>

<file path=customXml/itemProps2.xml><?xml version="1.0" encoding="utf-8"?>
<ds:datastoreItem xmlns:ds="http://schemas.openxmlformats.org/officeDocument/2006/customXml" ds:itemID="{3CADC276-667C-4205-8D8B-6DA8187659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73F970-F870-4242-936F-4BC860FA443B}">
  <ds:schemaRefs>
    <ds:schemaRef ds:uri="http://schemas.openxmlformats.org/officeDocument/2006/bibliography"/>
  </ds:schemaRefs>
</ds:datastoreItem>
</file>

<file path=customXml/itemProps4.xml><?xml version="1.0" encoding="utf-8"?>
<ds:datastoreItem xmlns:ds="http://schemas.openxmlformats.org/officeDocument/2006/customXml" ds:itemID="{11805D45-AC72-4145-B285-E34A42B73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247dd-dd13-4f5b-b6c8-d68caf3b64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5101</Words>
  <Characters>29077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7</cp:revision>
  <dcterms:created xsi:type="dcterms:W3CDTF">2023-10-10T19:53:00Z</dcterms:created>
  <dcterms:modified xsi:type="dcterms:W3CDTF">2023-10-11T01:02:00Z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documentId_7374</vt:lpwstr>
  </property>
  <property fmtid="{D5CDD505-2E9C-101B-9397-08002B2CF9AE}" pid="3" name="grammarly_documentContext">
    <vt:lpwstr>{"goals":[],"domain":"general","emotions":[],"dialect":"american"}</vt:lpwstr>
  </property>
  <property fmtid="{D5CDD505-2E9C-101B-9397-08002B2CF9AE}" pid="4" name="GrammarlyDocumentId">
    <vt:lpwstr>8931874be64261e0994d5dae6418c8075301e8a0683255685ab9355383981382</vt:lpwstr>
  </property>
  <property fmtid="{D5CDD505-2E9C-101B-9397-08002B2CF9AE}" pid="5" name="ContentTypeId">
    <vt:lpwstr>0x01010025778D6F4AA9484CBFE345ED272FB77B</vt:lpwstr>
  </property>
  <property fmtid="{D5CDD505-2E9C-101B-9397-08002B2CF9AE}" pid="6" name="ZOTERO_PREF_1">
    <vt:lpwstr>&lt;data data-version="3" zotero-version="6.0.26"&gt;&lt;session id="wXwtA28T"/&gt;&lt;style id="http://www.zotero.org/styles/american-medical-association" hasBibliography="1" bibliographyStyleHasBeenSet="1"/&gt;&lt;prefs&gt;&lt;pref name="fieldType" value="Field"/&gt;&lt;/prefs&gt;&lt;/data&gt;</vt:lpwstr>
  </property>
</Properties>
</file>