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ECC59" w14:textId="31E3DBD3" w:rsidR="00A84761" w:rsidRPr="007F566A" w:rsidRDefault="00616959">
      <w:pPr>
        <w:rPr>
          <w:b/>
          <w:bCs/>
        </w:rPr>
      </w:pPr>
      <w:r w:rsidRPr="007F566A">
        <w:rPr>
          <w:b/>
          <w:bCs/>
        </w:rPr>
        <w:t xml:space="preserve">In Silico Estimation of the </w:t>
      </w:r>
      <w:r w:rsidR="007F566A">
        <w:rPr>
          <w:b/>
          <w:bCs/>
        </w:rPr>
        <w:t>Performance</w:t>
      </w:r>
      <w:r w:rsidRPr="007F566A">
        <w:rPr>
          <w:b/>
          <w:bCs/>
        </w:rPr>
        <w:t xml:space="preserve"> of Transcutaneous CO</w:t>
      </w:r>
      <w:r w:rsidRPr="007F566A">
        <w:rPr>
          <w:b/>
          <w:bCs/>
          <w:vertAlign w:val="subscript"/>
        </w:rPr>
        <w:t>2</w:t>
      </w:r>
      <w:r w:rsidRPr="007F566A">
        <w:rPr>
          <w:b/>
          <w:bCs/>
        </w:rPr>
        <w:t xml:space="preserve"> Sensors for Detecting Hypercapnia in </w:t>
      </w:r>
      <w:r w:rsidR="007F566A">
        <w:rPr>
          <w:b/>
          <w:bCs/>
        </w:rPr>
        <w:t xml:space="preserve">Newly Admitted </w:t>
      </w:r>
      <w:r w:rsidRPr="007F566A">
        <w:rPr>
          <w:b/>
          <w:bCs/>
        </w:rPr>
        <w:t xml:space="preserve">Inpatients  </w:t>
      </w:r>
    </w:p>
    <w:p w14:paraId="123BC81F" w14:textId="77777777" w:rsidR="00A6043D" w:rsidRDefault="00A6043D" w:rsidP="00616959"/>
    <w:p w14:paraId="641D8AD6" w14:textId="0294A831" w:rsidR="00616959" w:rsidRDefault="00616959" w:rsidP="00616959">
      <w:r>
        <w:t>This work is supported by grant</w:t>
      </w:r>
      <w:r w:rsidR="00B30BFC">
        <w:t>s</w:t>
      </w:r>
      <w:r>
        <w:t xml:space="preserve"> from the American Thoracic Society </w:t>
      </w:r>
      <w:r w:rsidR="00B30BFC">
        <w:t>(</w:t>
      </w:r>
      <w:r>
        <w:t>ASPIRE fellowship</w:t>
      </w:r>
      <w:r w:rsidR="00B30BFC">
        <w:t>), the Intermountain Fund,</w:t>
      </w:r>
      <w:r>
        <w:t xml:space="preserve"> and the N</w:t>
      </w:r>
      <w:r w:rsidR="00B30BFC">
        <w:t>ational Institutes of Health (</w:t>
      </w:r>
      <w:r w:rsidR="00B30BFC" w:rsidRPr="00B30BFC">
        <w:t>Ruth L. Kirschstein National Research Service Award 5T32HL105321</w:t>
      </w:r>
      <w:r w:rsidR="00B30BFC">
        <w:t>)</w:t>
      </w:r>
    </w:p>
    <w:p w14:paraId="24A010F4" w14:textId="77777777" w:rsidR="00616959" w:rsidRDefault="00616959" w:rsidP="00616959"/>
    <w:p w14:paraId="2D3A1F39" w14:textId="77777777" w:rsidR="00616959" w:rsidRPr="00F70102" w:rsidRDefault="00616959" w:rsidP="00616959">
      <w:pPr>
        <w:rPr>
          <w:b/>
          <w:bCs/>
        </w:rPr>
      </w:pPr>
      <w:r w:rsidRPr="00F70102">
        <w:rPr>
          <w:b/>
          <w:bCs/>
        </w:rPr>
        <w:t xml:space="preserve">Introduction: </w:t>
      </w:r>
    </w:p>
    <w:p w14:paraId="7BE92368" w14:textId="5F1E301E" w:rsidR="00616959" w:rsidRDefault="000B4885" w:rsidP="00616959">
      <w:r>
        <w:t>A method to</w:t>
      </w:r>
      <w:r w:rsidR="00B30BFC">
        <w:t xml:space="preserve"> reliably identify </w:t>
      </w:r>
      <w:r>
        <w:t>which patients have</w:t>
      </w:r>
      <w:r w:rsidR="00B30BFC">
        <w:t xml:space="preserve"> </w:t>
      </w:r>
      <w:r>
        <w:t xml:space="preserve">an </w:t>
      </w:r>
      <w:r w:rsidR="00B30BFC">
        <w:t xml:space="preserve">elevated </w:t>
      </w:r>
      <w:r w:rsidR="00DB6DB6">
        <w:t>arterial partial pressure of CO</w:t>
      </w:r>
      <w:r w:rsidR="00DB6DB6" w:rsidRPr="00616959">
        <w:rPr>
          <w:vertAlign w:val="subscript"/>
        </w:rPr>
        <w:t>2</w:t>
      </w:r>
      <w:r w:rsidR="00DB6DB6">
        <w:t xml:space="preserve"> (PaCO</w:t>
      </w:r>
      <w:r w:rsidR="00DB6DB6" w:rsidRPr="00616959">
        <w:rPr>
          <w:vertAlign w:val="subscript"/>
        </w:rPr>
        <w:t>2</w:t>
      </w:r>
      <w:r w:rsidR="00DB6DB6">
        <w:t>)</w:t>
      </w:r>
      <w:r>
        <w:t xml:space="preserve"> is required to </w:t>
      </w:r>
      <w:r w:rsidR="00EF79B3">
        <w:t xml:space="preserve">rigorously </w:t>
      </w:r>
      <w:r>
        <w:t>study hypercapnic respiratory failure</w:t>
      </w:r>
      <w:r w:rsidR="00616959">
        <w:t xml:space="preserve">. </w:t>
      </w:r>
      <w:r w:rsidR="007F566A">
        <w:t xml:space="preserve">Arterial blood gas </w:t>
      </w:r>
      <w:r w:rsidR="00F0137E">
        <w:t xml:space="preserve">(ABG) </w:t>
      </w:r>
      <w:r w:rsidR="007F566A">
        <w:t>sampling is the reference standard</w:t>
      </w:r>
      <w:r>
        <w:t>,</w:t>
      </w:r>
      <w:r w:rsidR="007F566A">
        <w:t xml:space="preserve"> but</w:t>
      </w:r>
      <w:r>
        <w:t xml:space="preserve"> it </w:t>
      </w:r>
      <w:r w:rsidR="007F566A">
        <w:t>is</w:t>
      </w:r>
      <w:r w:rsidR="00616959">
        <w:t xml:space="preserve"> painful</w:t>
      </w:r>
      <w:r w:rsidR="00BF3303">
        <w:t xml:space="preserve">, </w:t>
      </w:r>
      <w:r w:rsidR="00616959">
        <w:t>can cause complications</w:t>
      </w:r>
      <w:r w:rsidR="00BF3303">
        <w:t xml:space="preserve">, and is therefore not always obtained in </w:t>
      </w:r>
      <w:r w:rsidR="00E415BD">
        <w:t>usual</w:t>
      </w:r>
      <w:r w:rsidR="00BF3303">
        <w:t xml:space="preserve"> care. R</w:t>
      </w:r>
      <w:r>
        <w:t>equiring ABG sampling may dissuade</w:t>
      </w:r>
      <w:r w:rsidR="00BF3303">
        <w:t xml:space="preserve"> patients from</w:t>
      </w:r>
      <w:r>
        <w:t xml:space="preserve"> participat</w:t>
      </w:r>
      <w:r w:rsidR="00BF3303">
        <w:t>ing</w:t>
      </w:r>
      <w:r>
        <w:t xml:space="preserve"> in prospective </w:t>
      </w:r>
      <w:proofErr w:type="gramStart"/>
      <w:r>
        <w:t>studies</w:t>
      </w:r>
      <w:r w:rsidR="00BF3303">
        <w:t>, and</w:t>
      </w:r>
      <w:proofErr w:type="gramEnd"/>
      <w:r w:rsidR="00BF3303">
        <w:t xml:space="preserve"> may result in </w:t>
      </w:r>
      <w:r w:rsidR="00E415BD">
        <w:t>biased</w:t>
      </w:r>
      <w:r w:rsidR="00BF3303">
        <w:t xml:space="preserve"> detection of hypercapnia</w:t>
      </w:r>
      <w:r w:rsidR="00E415BD">
        <w:t xml:space="preserve"> in studies using passive detection</w:t>
      </w:r>
      <w:r>
        <w:t>.</w:t>
      </w:r>
      <w:r w:rsidR="00D24490">
        <w:t xml:space="preserve"> </w:t>
      </w:r>
      <w:r w:rsidR="00616959">
        <w:t>We sought to combine previously reported estimates of transcutaneous CO</w:t>
      </w:r>
      <w:r w:rsidR="00616959" w:rsidRPr="00616959">
        <w:rPr>
          <w:vertAlign w:val="subscript"/>
        </w:rPr>
        <w:t>2</w:t>
      </w:r>
      <w:r w:rsidR="00616959">
        <w:t xml:space="preserve"> (TcCO</w:t>
      </w:r>
      <w:r w:rsidR="00616959" w:rsidRPr="00616959">
        <w:rPr>
          <w:vertAlign w:val="subscript"/>
        </w:rPr>
        <w:t>2</w:t>
      </w:r>
      <w:r w:rsidR="00616959">
        <w:t xml:space="preserve">) </w:t>
      </w:r>
      <w:r w:rsidR="00B30BFC">
        <w:t xml:space="preserve">sensor </w:t>
      </w:r>
      <w:r w:rsidR="00616959">
        <w:t>accuracy with the distribution of</w:t>
      </w:r>
      <w:r w:rsidR="00DB6DB6">
        <w:t xml:space="preserve"> </w:t>
      </w:r>
      <w:r w:rsidR="00616959">
        <w:t>PaCO</w:t>
      </w:r>
      <w:r w:rsidR="00616959" w:rsidRPr="00616959">
        <w:rPr>
          <w:vertAlign w:val="subscript"/>
        </w:rPr>
        <w:t>2</w:t>
      </w:r>
      <w:r w:rsidR="00616959">
        <w:t xml:space="preserve"> results to </w:t>
      </w:r>
      <w:r w:rsidR="00B30BFC">
        <w:t>evaluate</w:t>
      </w:r>
      <w:r w:rsidR="00B30BFC">
        <w:t xml:space="preserve"> </w:t>
      </w:r>
      <w:r w:rsidR="00616959">
        <w:t>whether TcCO</w:t>
      </w:r>
      <w:r w:rsidR="00616959" w:rsidRPr="00F70102">
        <w:rPr>
          <w:vertAlign w:val="subscript"/>
        </w:rPr>
        <w:t>2</w:t>
      </w:r>
      <w:r w:rsidR="00616959">
        <w:t xml:space="preserve"> monitors </w:t>
      </w:r>
      <w:r w:rsidR="007F566A">
        <w:t>might</w:t>
      </w:r>
      <w:r w:rsidR="00616959">
        <w:t xml:space="preserve"> be </w:t>
      </w:r>
      <w:r w:rsidR="00D24490">
        <w:t>accurate enough to identify</w:t>
      </w:r>
      <w:r w:rsidR="00616959">
        <w:t xml:space="preserve"> hypercapnia</w:t>
      </w:r>
      <w:r w:rsidR="00D24490">
        <w:t xml:space="preserve"> </w:t>
      </w:r>
      <w:r w:rsidR="00616959">
        <w:t xml:space="preserve">among </w:t>
      </w:r>
      <w:r w:rsidR="00D24490">
        <w:t xml:space="preserve">hospitalized </w:t>
      </w:r>
      <w:r w:rsidR="00B30BFC">
        <w:t>adults</w:t>
      </w:r>
      <w:r w:rsidR="00616959">
        <w:t xml:space="preserve">. </w:t>
      </w:r>
    </w:p>
    <w:p w14:paraId="5FDC33F3" w14:textId="77777777" w:rsidR="00616959" w:rsidRDefault="00616959" w:rsidP="00616959"/>
    <w:p w14:paraId="34CF89E9" w14:textId="77777777" w:rsidR="00616959" w:rsidRPr="00F70102" w:rsidRDefault="00616959" w:rsidP="00616959">
      <w:pPr>
        <w:rPr>
          <w:b/>
          <w:bCs/>
        </w:rPr>
      </w:pPr>
      <w:r w:rsidRPr="00F70102">
        <w:rPr>
          <w:b/>
          <w:bCs/>
        </w:rPr>
        <w:t xml:space="preserve">Methods: </w:t>
      </w:r>
    </w:p>
    <w:p w14:paraId="2BA46835" w14:textId="574B48B5" w:rsidR="002A304F" w:rsidRDefault="0036278E" w:rsidP="0036278E">
      <w:r>
        <w:t xml:space="preserve">Inpatient encounters occurring Jan 1 to Dec 31, </w:t>
      </w:r>
      <w:proofErr w:type="gramStart"/>
      <w:r>
        <w:t>2022</w:t>
      </w:r>
      <w:proofErr w:type="gramEnd"/>
      <w:r>
        <w:t xml:space="preserve"> </w:t>
      </w:r>
      <w:r w:rsidR="003F4062">
        <w:t xml:space="preserve">in </w:t>
      </w:r>
      <w:r w:rsidR="00D245BC">
        <w:t>which</w:t>
      </w:r>
      <w:r>
        <w:t xml:space="preserve"> an </w:t>
      </w:r>
      <w:r w:rsidR="00D245BC">
        <w:t>ABG</w:t>
      </w:r>
      <w:r>
        <w:t xml:space="preserve"> was drawn on the day of admission were requested </w:t>
      </w:r>
      <w:r w:rsidR="002A304F" w:rsidRPr="002A304F">
        <w:t xml:space="preserve">from the </w:t>
      </w:r>
      <w:proofErr w:type="spellStart"/>
      <w:r w:rsidR="002A304F" w:rsidRPr="002A304F">
        <w:t>TriNetX</w:t>
      </w:r>
      <w:proofErr w:type="spellEnd"/>
      <w:r w:rsidR="002A304F" w:rsidRPr="002A304F">
        <w:t xml:space="preserve"> research network</w:t>
      </w:r>
      <w:r w:rsidR="00C47670">
        <w:t>,</w:t>
      </w:r>
      <w:r w:rsidR="002A304F">
        <w:t xml:space="preserve"> which </w:t>
      </w:r>
      <w:r w:rsidR="00F70102">
        <w:t>aggregates</w:t>
      </w:r>
      <w:r w:rsidR="002A304F">
        <w:t xml:space="preserve"> electronic health record data from 76 medical centers</w:t>
      </w:r>
      <w:r w:rsidR="00383826">
        <w:t xml:space="preserve"> and roughly 115 million patients</w:t>
      </w:r>
      <w:r w:rsidR="002A304F">
        <w:t xml:space="preserve"> across the United </w:t>
      </w:r>
      <w:r w:rsidR="00383826">
        <w:t>States.</w:t>
      </w:r>
      <w:r w:rsidR="00F70102">
        <w:t xml:space="preserve"> </w:t>
      </w:r>
      <w:r w:rsidR="0038609B">
        <w:t>We simulated a TcCO</w:t>
      </w:r>
      <w:r w:rsidR="0038609B" w:rsidRPr="00F70102">
        <w:rPr>
          <w:vertAlign w:val="subscript"/>
        </w:rPr>
        <w:t>2</w:t>
      </w:r>
      <w:r w:rsidR="0038609B">
        <w:t xml:space="preserve"> reading for each PaCO</w:t>
      </w:r>
      <w:r w:rsidR="0038609B" w:rsidRPr="00F70102">
        <w:rPr>
          <w:vertAlign w:val="subscript"/>
        </w:rPr>
        <w:t>2</w:t>
      </w:r>
      <w:r w:rsidR="0038609B">
        <w:t xml:space="preserve"> measurement using</w:t>
      </w:r>
      <w:r w:rsidR="00F0137E">
        <w:t xml:space="preserve"> test </w:t>
      </w:r>
      <w:r w:rsidR="00EF79B3">
        <w:t>agreement</w:t>
      </w:r>
      <w:r w:rsidR="00EF79B3">
        <w:t xml:space="preserve"> </w:t>
      </w:r>
      <w:r w:rsidR="0038609B">
        <w:t>estimates from the</w:t>
      </w:r>
      <w:r w:rsidR="00F0137E" w:rsidRPr="00F0137E">
        <w:t xml:space="preserve"> </w:t>
      </w:r>
      <w:r w:rsidR="0038609B">
        <w:t xml:space="preserve">meta-analysis by </w:t>
      </w:r>
      <w:r>
        <w:t>Conway et al</w:t>
      </w:r>
      <w:r w:rsidR="00F70102">
        <w:t xml:space="preserve">. </w:t>
      </w:r>
      <w:r>
        <w:t>(Thorax, 2017</w:t>
      </w:r>
      <w:r w:rsidR="00E6186A">
        <w:t xml:space="preserve">) which </w:t>
      </w:r>
      <w:r w:rsidR="00EF79B3">
        <w:t>estimated</w:t>
      </w:r>
      <w:r w:rsidR="00EF79B3">
        <w:t xml:space="preserve"> </w:t>
      </w:r>
      <w:r w:rsidR="00E6186A">
        <w:t>a</w:t>
      </w:r>
      <w:r w:rsidR="007F566A">
        <w:t xml:space="preserve"> </w:t>
      </w:r>
      <w:r w:rsidR="00E6186A">
        <w:t>m</w:t>
      </w:r>
      <w:r w:rsidR="00F70102">
        <w:t xml:space="preserve">ean </w:t>
      </w:r>
      <w:r>
        <w:t>bias</w:t>
      </w:r>
      <w:r w:rsidR="00E6186A">
        <w:t xml:space="preserve"> of </w:t>
      </w:r>
      <w:r>
        <w:t>TcCO</w:t>
      </w:r>
      <w:r w:rsidRPr="00F70102">
        <w:rPr>
          <w:vertAlign w:val="subscript"/>
        </w:rPr>
        <w:t>2</w:t>
      </w:r>
      <w:r>
        <w:t xml:space="preserve"> 0.</w:t>
      </w:r>
      <w:r w:rsidR="00764E6D">
        <w:t>0</w:t>
      </w:r>
      <w:r w:rsidR="00F0394B">
        <w:t>9</w:t>
      </w:r>
      <w:r w:rsidR="00E415BD">
        <w:t xml:space="preserve"> </w:t>
      </w:r>
      <w:r>
        <w:t>mmHg lower than PaCO</w:t>
      </w:r>
      <w:r w:rsidRPr="00F70102">
        <w:rPr>
          <w:vertAlign w:val="subscript"/>
        </w:rPr>
        <w:t>2</w:t>
      </w:r>
      <w:r w:rsidR="00E6186A">
        <w:t xml:space="preserve"> and</w:t>
      </w:r>
      <w:r w:rsidR="00C200F2">
        <w:t xml:space="preserve"> </w:t>
      </w:r>
      <w:r w:rsidR="00EF79B3">
        <w:t xml:space="preserve">a population standard deviation </w:t>
      </w:r>
      <w:r w:rsidR="00E415BD">
        <w:t xml:space="preserve">(accounting for both within- and between-study variance) </w:t>
      </w:r>
      <w:r w:rsidR="0038609B">
        <w:t xml:space="preserve">of </w:t>
      </w:r>
      <w:r w:rsidR="00F0394B" w:rsidRPr="00270D22">
        <w:t>4.60</w:t>
      </w:r>
      <w:r w:rsidR="00E415BD">
        <w:t xml:space="preserve"> </w:t>
      </w:r>
      <w:r w:rsidRPr="00F0394B">
        <w:t>mmHg</w:t>
      </w:r>
      <w:r w:rsidR="00F70102">
        <w:t xml:space="preserve">. </w:t>
      </w:r>
      <w:r w:rsidR="00BA2D5A">
        <w:t>Results</w:t>
      </w:r>
      <w:r w:rsidR="0038609B">
        <w:t xml:space="preserve"> were classified as true negatives (PaCO</w:t>
      </w:r>
      <w:r w:rsidR="0038609B" w:rsidRPr="0038609B">
        <w:rPr>
          <w:vertAlign w:val="subscript"/>
        </w:rPr>
        <w:t>2</w:t>
      </w:r>
      <w:r w:rsidR="0038609B">
        <w:t xml:space="preserve"> and TcCO</w:t>
      </w:r>
      <w:r w:rsidR="0038609B" w:rsidRPr="0038609B">
        <w:rPr>
          <w:vertAlign w:val="subscript"/>
        </w:rPr>
        <w:t>2</w:t>
      </w:r>
      <w:r w:rsidR="0038609B">
        <w:t xml:space="preserve"> &lt; 45mmHg),</w:t>
      </w:r>
      <w:r w:rsidR="00C5197E" w:rsidRPr="00C5197E">
        <w:t xml:space="preserve"> </w:t>
      </w:r>
      <w:r w:rsidR="00C5197E">
        <w:t>false positive</w:t>
      </w:r>
      <w:r w:rsidR="00BA2D5A">
        <w:t>s</w:t>
      </w:r>
      <w:r w:rsidR="00C5197E">
        <w:t xml:space="preserve"> (PaCO2 &lt; 45</w:t>
      </w:r>
      <w:r w:rsidR="00F0137E">
        <w:t>mmHg</w:t>
      </w:r>
      <w:r w:rsidR="00BA2D5A">
        <w:t>,</w:t>
      </w:r>
      <w:r w:rsidR="00C5197E">
        <w:t xml:space="preserve"> TcCO2 </w:t>
      </w:r>
      <w:r w:rsidR="00C5197E" w:rsidRPr="0038609B">
        <w:t>≥</w:t>
      </w:r>
      <w:r w:rsidR="00C5197E">
        <w:t xml:space="preserve"> 45mmHg), </w:t>
      </w:r>
      <w:r w:rsidR="0038609B">
        <w:t>true positive</w:t>
      </w:r>
      <w:r w:rsidR="00BA2D5A">
        <w:t>s</w:t>
      </w:r>
      <w:r w:rsidR="0038609B">
        <w:t xml:space="preserve"> (PaCO2 and TcCO</w:t>
      </w:r>
      <w:r w:rsidR="0038609B" w:rsidRPr="0038609B">
        <w:rPr>
          <w:vertAlign w:val="subscript"/>
        </w:rPr>
        <w:t>2</w:t>
      </w:r>
      <w:r w:rsidR="0038609B">
        <w:t xml:space="preserve"> </w:t>
      </w:r>
      <w:r w:rsidR="0038609B" w:rsidRPr="0038609B">
        <w:t>≥</w:t>
      </w:r>
      <w:r w:rsidR="0038609B">
        <w:t xml:space="preserve"> 45mmHg</w:t>
      </w:r>
      <w:r w:rsidR="007F566A">
        <w:t xml:space="preserve">), or </w:t>
      </w:r>
      <w:r w:rsidR="00C5197E">
        <w:t>false negative</w:t>
      </w:r>
      <w:r w:rsidR="00BA2D5A">
        <w:t>s</w:t>
      </w:r>
      <w:r w:rsidR="00C5197E">
        <w:t xml:space="preserve"> (PaCO</w:t>
      </w:r>
      <w:r w:rsidR="00C5197E" w:rsidRPr="0038609B">
        <w:rPr>
          <w:vertAlign w:val="subscript"/>
        </w:rPr>
        <w:t>2</w:t>
      </w:r>
      <w:r w:rsidR="00C5197E">
        <w:t xml:space="preserve"> </w:t>
      </w:r>
      <w:r w:rsidR="00C5197E" w:rsidRPr="0038609B">
        <w:t>≥</w:t>
      </w:r>
      <w:r w:rsidR="00C5197E">
        <w:t xml:space="preserve"> 45mmHg</w:t>
      </w:r>
      <w:r w:rsidR="00BA2D5A">
        <w:t>,</w:t>
      </w:r>
      <w:r w:rsidR="00C5197E">
        <w:t xml:space="preserve"> TcCO</w:t>
      </w:r>
      <w:r w:rsidR="00C5197E" w:rsidRPr="0038609B">
        <w:rPr>
          <w:vertAlign w:val="subscript"/>
        </w:rPr>
        <w:t>2</w:t>
      </w:r>
      <w:r w:rsidR="00C5197E">
        <w:t xml:space="preserve"> &lt; 45mmHg)</w:t>
      </w:r>
      <w:r w:rsidR="00EF79B3">
        <w:t xml:space="preserve">. </w:t>
      </w:r>
      <w:r w:rsidR="002E7621">
        <w:t xml:space="preserve"> </w:t>
      </w:r>
      <w:r w:rsidR="00EF79B3">
        <w:t>Operating</w:t>
      </w:r>
      <w:r w:rsidR="002E7621">
        <w:t xml:space="preserve"> characteristics </w:t>
      </w:r>
      <w:r w:rsidR="00EF79B3">
        <w:t xml:space="preserve">were </w:t>
      </w:r>
      <w:r w:rsidR="002E7621">
        <w:t xml:space="preserve">subsequently </w:t>
      </w:r>
      <w:r w:rsidR="00C47670">
        <w:t>calculated</w:t>
      </w:r>
      <w:r w:rsidR="002E7621">
        <w:t>.</w:t>
      </w:r>
    </w:p>
    <w:p w14:paraId="00CBF9DC" w14:textId="46C3D247" w:rsidR="00616959" w:rsidRDefault="00616959" w:rsidP="00616959"/>
    <w:p w14:paraId="29372910" w14:textId="20E06FE5" w:rsidR="00F70102" w:rsidRPr="0038609B" w:rsidRDefault="00F70102" w:rsidP="00616959">
      <w:pPr>
        <w:rPr>
          <w:b/>
          <w:bCs/>
        </w:rPr>
      </w:pPr>
      <w:r w:rsidRPr="0038609B">
        <w:rPr>
          <w:b/>
          <w:bCs/>
        </w:rPr>
        <w:t xml:space="preserve">Results: </w:t>
      </w:r>
    </w:p>
    <w:p w14:paraId="6048517E" w14:textId="4293B8E8" w:rsidR="00AA7DE6" w:rsidRDefault="00F70102" w:rsidP="00616959">
      <w:r w:rsidRPr="00F70102">
        <w:t>1</w:t>
      </w:r>
      <w:r w:rsidR="00B756C4">
        <w:t>58</w:t>
      </w:r>
      <w:r w:rsidRPr="00F70102">
        <w:t>,</w:t>
      </w:r>
      <w:r w:rsidR="00B756C4">
        <w:t>228</w:t>
      </w:r>
      <w:r>
        <w:t xml:space="preserve"> </w:t>
      </w:r>
      <w:r w:rsidR="00E6186A">
        <w:t>ABGs</w:t>
      </w:r>
      <w:r>
        <w:t xml:space="preserve"> </w:t>
      </w:r>
      <w:r w:rsidR="0033409B">
        <w:t>were included (57.8% critical care</w:t>
      </w:r>
      <w:r w:rsidR="008902C6">
        <w:t xml:space="preserve">; </w:t>
      </w:r>
      <w:r w:rsidR="0033409B">
        <w:t>54.9% male</w:t>
      </w:r>
      <w:r w:rsidR="008902C6">
        <w:t xml:space="preserve">; </w:t>
      </w:r>
      <w:r w:rsidR="0033409B">
        <w:t>35.3% ventilated</w:t>
      </w:r>
      <w:r w:rsidR="008902C6">
        <w:t xml:space="preserve">; </w:t>
      </w:r>
      <w:r w:rsidR="0033409B">
        <w:t xml:space="preserve">65.4% non-Hispanic white, 14.4% black, 5.5% Hispanic; mean age 62.1 ± 16.4 years) </w:t>
      </w:r>
      <w:r>
        <w:t>show</w:t>
      </w:r>
      <w:r w:rsidR="0033409B">
        <w:t xml:space="preserve">ing </w:t>
      </w:r>
      <w:r>
        <w:t>a mean PaCO</w:t>
      </w:r>
      <w:r w:rsidRPr="00F70102">
        <w:rPr>
          <w:vertAlign w:val="subscript"/>
        </w:rPr>
        <w:t>2</w:t>
      </w:r>
      <w:r>
        <w:t xml:space="preserve"> of 42.</w:t>
      </w:r>
      <w:r w:rsidR="00B756C4">
        <w:t>6</w:t>
      </w:r>
      <w:r w:rsidR="009E1FDD">
        <w:t xml:space="preserve"> ±17.3</w:t>
      </w:r>
      <w:r w:rsidR="00BA2D5A">
        <w:t>mmHg</w:t>
      </w:r>
      <w:r w:rsidR="009E1FDD">
        <w:t>.</w:t>
      </w:r>
      <w:r>
        <w:t xml:space="preserve"> </w:t>
      </w:r>
      <w:r w:rsidR="00F0137E">
        <w:t xml:space="preserve">Hypercapnia was present in </w:t>
      </w:r>
      <w:r w:rsidR="00B756C4">
        <w:t>47</w:t>
      </w:r>
      <w:r w:rsidR="00F0137E">
        <w:t>,</w:t>
      </w:r>
      <w:r w:rsidR="00B756C4">
        <w:t>995</w:t>
      </w:r>
      <w:r w:rsidR="00F0137E">
        <w:t xml:space="preserve"> (</w:t>
      </w:r>
      <w:r w:rsidR="00B756C4">
        <w:t>30.3</w:t>
      </w:r>
      <w:r w:rsidR="00F0137E">
        <w:t xml:space="preserve">%). </w:t>
      </w:r>
      <w:r w:rsidR="007F566A" w:rsidRPr="00E30EC7">
        <w:t>S</w:t>
      </w:r>
      <w:r w:rsidR="0038609B" w:rsidRPr="00E30EC7">
        <w:t xml:space="preserve">imulated TcCO2 measurements </w:t>
      </w:r>
      <w:r w:rsidR="0006173A" w:rsidRPr="00E30EC7">
        <w:t>yield</w:t>
      </w:r>
      <w:r w:rsidR="008902C6">
        <w:t>ed</w:t>
      </w:r>
      <w:r w:rsidR="0006173A" w:rsidRPr="00E30EC7">
        <w:t xml:space="preserve"> </w:t>
      </w:r>
      <w:r w:rsidR="00E415BD">
        <w:t xml:space="preserve">the following </w:t>
      </w:r>
      <w:r w:rsidR="00175C95">
        <w:t>operating</w:t>
      </w:r>
      <w:r w:rsidR="0006173A" w:rsidRPr="00E30EC7">
        <w:t xml:space="preserve"> characteristic</w:t>
      </w:r>
      <w:r w:rsidR="00E415BD">
        <w:t xml:space="preserve"> estimates</w:t>
      </w:r>
      <w:r w:rsidR="0031552C">
        <w:t xml:space="preserve">: </w:t>
      </w:r>
      <w:r w:rsidR="00C5197E" w:rsidRPr="00E30EC7">
        <w:t xml:space="preserve">sensitivity </w:t>
      </w:r>
      <w:r w:rsidR="00AA7DE6" w:rsidRPr="00E30EC7">
        <w:t>8</w:t>
      </w:r>
      <w:r w:rsidR="00072EF2" w:rsidRPr="00270D22">
        <w:t>4.2</w:t>
      </w:r>
      <w:r w:rsidR="00C5197E" w:rsidRPr="00E30EC7">
        <w:t xml:space="preserve">%, specificity </w:t>
      </w:r>
      <w:r w:rsidR="00072EF2" w:rsidRPr="00270D22">
        <w:t>91.0</w:t>
      </w:r>
      <w:r w:rsidR="00C5197E" w:rsidRPr="00E30EC7">
        <w:t>%, negative predictive value</w:t>
      </w:r>
      <w:r w:rsidR="00072EF2" w:rsidRPr="00270D22">
        <w:t xml:space="preserve"> 93.0</w:t>
      </w:r>
      <w:r w:rsidR="00C5197E" w:rsidRPr="00E30EC7">
        <w:t xml:space="preserve">%, and positive predictive value </w:t>
      </w:r>
      <w:r w:rsidR="00072EF2" w:rsidRPr="00270D22">
        <w:t>80.4</w:t>
      </w:r>
      <w:r w:rsidR="00C5197E" w:rsidRPr="00E30EC7">
        <w:t>%.</w:t>
      </w:r>
      <w:r w:rsidR="00C5197E">
        <w:t xml:space="preserve">  </w:t>
      </w:r>
    </w:p>
    <w:p w14:paraId="1AA256F0" w14:textId="77777777" w:rsidR="00AA7DE6" w:rsidRDefault="00AA7DE6" w:rsidP="00616959"/>
    <w:p w14:paraId="196D544E" w14:textId="74B9607D" w:rsidR="00616959" w:rsidRPr="0038609B" w:rsidRDefault="0038609B" w:rsidP="00616959">
      <w:pPr>
        <w:rPr>
          <w:b/>
          <w:bCs/>
        </w:rPr>
      </w:pPr>
      <w:r w:rsidRPr="0038609B">
        <w:rPr>
          <w:b/>
          <w:bCs/>
        </w:rPr>
        <w:t xml:space="preserve">Conclusions: </w:t>
      </w:r>
    </w:p>
    <w:p w14:paraId="55373510" w14:textId="1596EA56" w:rsidR="00616959" w:rsidRDefault="00175C95">
      <w:r>
        <w:t>Our simulation suggests the accuracy of TcCO</w:t>
      </w:r>
      <w:r w:rsidRPr="00270D22">
        <w:rPr>
          <w:vertAlign w:val="subscript"/>
        </w:rPr>
        <w:t>2</w:t>
      </w:r>
      <w:r>
        <w:t xml:space="preserve"> for binary classification of hypercapnia is likely to be high because m</w:t>
      </w:r>
      <w:r w:rsidR="0038609B">
        <w:t>any</w:t>
      </w:r>
      <w:r w:rsidR="007F566A">
        <w:t xml:space="preserve"> </w:t>
      </w:r>
      <w:r>
        <w:t xml:space="preserve">admitted </w:t>
      </w:r>
      <w:r w:rsidR="0038609B">
        <w:t xml:space="preserve">patients </w:t>
      </w:r>
      <w:r>
        <w:t>have PaCO</w:t>
      </w:r>
      <w:r w:rsidRPr="00270D22">
        <w:rPr>
          <w:vertAlign w:val="subscript"/>
        </w:rPr>
        <w:t>2</w:t>
      </w:r>
      <w:r>
        <w:t xml:space="preserve"> values sufficiently far from the threshold to make classification errors unlikely</w:t>
      </w:r>
      <w:r w:rsidR="00C16F9D">
        <w:t>,</w:t>
      </w:r>
      <w:r>
        <w:t xml:space="preserve"> given reported limits of agreement</w:t>
      </w:r>
      <w:r w:rsidR="007F566A">
        <w:t>.</w:t>
      </w:r>
      <w:r w:rsidR="00F0137E">
        <w:t xml:space="preserve"> </w:t>
      </w:r>
      <w:r>
        <w:t>Two</w:t>
      </w:r>
      <w:r w:rsidR="00F0137E">
        <w:t xml:space="preserve"> limitation</w:t>
      </w:r>
      <w:r>
        <w:t>s</w:t>
      </w:r>
      <w:r w:rsidR="00F0137E">
        <w:t xml:space="preserve"> </w:t>
      </w:r>
      <w:r>
        <w:t xml:space="preserve">of this work are </w:t>
      </w:r>
      <w:r w:rsidR="00F0137E">
        <w:t>that</w:t>
      </w:r>
      <w:r w:rsidR="00C5197E">
        <w:t xml:space="preserve"> patients</w:t>
      </w:r>
      <w:r w:rsidR="00D1168E">
        <w:t xml:space="preserve"> </w:t>
      </w:r>
      <w:r w:rsidR="00F0137E">
        <w:t>receiv</w:t>
      </w:r>
      <w:r w:rsidR="00D1168E">
        <w:t>ing</w:t>
      </w:r>
      <w:r w:rsidR="00F0137E">
        <w:t xml:space="preserve"> </w:t>
      </w:r>
      <w:r w:rsidR="00EB1936">
        <w:t>ABGs</w:t>
      </w:r>
      <w:r w:rsidR="00F0137E">
        <w:t xml:space="preserve"> may have </w:t>
      </w:r>
      <w:r>
        <w:t>more extreme</w:t>
      </w:r>
      <w:r>
        <w:t xml:space="preserve"> </w:t>
      </w:r>
      <w:r w:rsidR="00F0137E">
        <w:t>PaCO</w:t>
      </w:r>
      <w:r w:rsidR="00F0137E" w:rsidRPr="00C5197E">
        <w:rPr>
          <w:vertAlign w:val="subscript"/>
        </w:rPr>
        <w:t>2</w:t>
      </w:r>
      <w:r w:rsidR="00F0137E">
        <w:t xml:space="preserve"> </w:t>
      </w:r>
      <w:r>
        <w:lastRenderedPageBreak/>
        <w:t>derangements</w:t>
      </w:r>
      <w:r>
        <w:t xml:space="preserve"> </w:t>
      </w:r>
      <w:r w:rsidR="00F0137E">
        <w:t xml:space="preserve">than </w:t>
      </w:r>
      <w:r w:rsidR="00EB1936">
        <w:t xml:space="preserve">those </w:t>
      </w:r>
      <w:r w:rsidR="00F61CD1">
        <w:t>without ABGs</w:t>
      </w:r>
      <w:r>
        <w:t xml:space="preserve"> and</w:t>
      </w:r>
      <w:r w:rsidR="00F0137E">
        <w:t xml:space="preserve"> disagreement</w:t>
      </w:r>
      <w:r w:rsidR="00C16F9D">
        <w:t>s</w:t>
      </w:r>
      <w:r w:rsidR="00F0137E">
        <w:t xml:space="preserve"> </w:t>
      </w:r>
      <w:r w:rsidR="0017675E">
        <w:t xml:space="preserve">between </w:t>
      </w:r>
      <w:r w:rsidR="00F0137E">
        <w:t>TcCO</w:t>
      </w:r>
      <w:r w:rsidR="00F0137E" w:rsidRPr="00C5197E">
        <w:rPr>
          <w:vertAlign w:val="subscript"/>
        </w:rPr>
        <w:t>2</w:t>
      </w:r>
      <w:r w:rsidR="00F0137E">
        <w:t>-PaCO</w:t>
      </w:r>
      <w:r w:rsidR="00F0137E" w:rsidRPr="00C5197E">
        <w:rPr>
          <w:vertAlign w:val="subscript"/>
        </w:rPr>
        <w:t>2</w:t>
      </w:r>
      <w:r w:rsidR="00F0137E">
        <w:t xml:space="preserve"> m</w:t>
      </w:r>
      <w:r w:rsidR="00C16F9D">
        <w:t>ight</w:t>
      </w:r>
      <w:r w:rsidR="00F0137E">
        <w:t xml:space="preserve"> be</w:t>
      </w:r>
      <w:r w:rsidR="00C16F9D">
        <w:t xml:space="preserve"> non-</w:t>
      </w:r>
      <w:r w:rsidR="00F0137E">
        <w:t>Gaussian</w:t>
      </w:r>
      <w:r>
        <w:t>.</w:t>
      </w:r>
      <w:r w:rsidR="00C5197E">
        <w:t xml:space="preserve"> </w:t>
      </w:r>
      <w:r w:rsidR="00C47670">
        <w:t>Nonetheless, TcCO</w:t>
      </w:r>
      <w:r w:rsidR="00C47670" w:rsidRPr="00270D22">
        <w:rPr>
          <w:vertAlign w:val="subscript"/>
        </w:rPr>
        <w:t>2</w:t>
      </w:r>
      <w:r w:rsidR="00C47670">
        <w:t xml:space="preserve"> may be a useful tool to more reliably capture the occurrence of hypercapnia among inpatients.</w:t>
      </w:r>
    </w:p>
    <w:p w14:paraId="3F3D0206" w14:textId="77777777" w:rsidR="0038609B" w:rsidRDefault="0038609B"/>
    <w:p w14:paraId="2601851D" w14:textId="59A8A980" w:rsidR="0038609B" w:rsidRDefault="0038609B"/>
    <w:p w14:paraId="38300420" w14:textId="71306CB3" w:rsidR="0033409B" w:rsidRDefault="0033409B">
      <w:r w:rsidRPr="0033409B">
        <w:rPr>
          <w:noProof/>
        </w:rPr>
        <w:drawing>
          <wp:inline distT="0" distB="0" distL="0" distR="0" wp14:anchorId="69C6F2D4" wp14:editId="374CB4E0">
            <wp:extent cx="6619164" cy="4412776"/>
            <wp:effectExtent l="0" t="0" r="0" b="0"/>
            <wp:docPr id="1826231937" name="Picture 1" descr="A graph of a normal distribu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31937" name="Picture 1" descr="A graph of a normal distribu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2302" cy="44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59"/>
    <w:rsid w:val="00033176"/>
    <w:rsid w:val="0004662F"/>
    <w:rsid w:val="0006173A"/>
    <w:rsid w:val="00072EF2"/>
    <w:rsid w:val="000B0C00"/>
    <w:rsid w:val="000B4885"/>
    <w:rsid w:val="00175C95"/>
    <w:rsid w:val="0017675E"/>
    <w:rsid w:val="001E558C"/>
    <w:rsid w:val="0020792F"/>
    <w:rsid w:val="00270D22"/>
    <w:rsid w:val="002A304F"/>
    <w:rsid w:val="002E7621"/>
    <w:rsid w:val="0031552C"/>
    <w:rsid w:val="0033409B"/>
    <w:rsid w:val="0036278E"/>
    <w:rsid w:val="00383826"/>
    <w:rsid w:val="0038609B"/>
    <w:rsid w:val="003D66F5"/>
    <w:rsid w:val="003F4062"/>
    <w:rsid w:val="003F6658"/>
    <w:rsid w:val="00404AAF"/>
    <w:rsid w:val="004342BB"/>
    <w:rsid w:val="00455CD0"/>
    <w:rsid w:val="004D3949"/>
    <w:rsid w:val="00517769"/>
    <w:rsid w:val="00592DEE"/>
    <w:rsid w:val="00603F6C"/>
    <w:rsid w:val="00616959"/>
    <w:rsid w:val="00627191"/>
    <w:rsid w:val="00674E97"/>
    <w:rsid w:val="00733291"/>
    <w:rsid w:val="00764E6D"/>
    <w:rsid w:val="007C6803"/>
    <w:rsid w:val="007F566A"/>
    <w:rsid w:val="008902C6"/>
    <w:rsid w:val="008952A2"/>
    <w:rsid w:val="009E1FDD"/>
    <w:rsid w:val="00A6043D"/>
    <w:rsid w:val="00A83C35"/>
    <w:rsid w:val="00A84761"/>
    <w:rsid w:val="00AA7DE6"/>
    <w:rsid w:val="00B30BFC"/>
    <w:rsid w:val="00B62063"/>
    <w:rsid w:val="00B756C4"/>
    <w:rsid w:val="00BA2D5A"/>
    <w:rsid w:val="00BF3303"/>
    <w:rsid w:val="00C16F9D"/>
    <w:rsid w:val="00C200F2"/>
    <w:rsid w:val="00C47670"/>
    <w:rsid w:val="00C5197E"/>
    <w:rsid w:val="00D1168E"/>
    <w:rsid w:val="00D24490"/>
    <w:rsid w:val="00D245BC"/>
    <w:rsid w:val="00DB6DB6"/>
    <w:rsid w:val="00DE0CE4"/>
    <w:rsid w:val="00E30EC7"/>
    <w:rsid w:val="00E415BD"/>
    <w:rsid w:val="00E6186A"/>
    <w:rsid w:val="00EB1936"/>
    <w:rsid w:val="00EF79B3"/>
    <w:rsid w:val="00F0137E"/>
    <w:rsid w:val="00F0394B"/>
    <w:rsid w:val="00F61CD1"/>
    <w:rsid w:val="00F7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A12C1"/>
  <w15:chartTrackingRefBased/>
  <w15:docId w15:val="{D1DB3FD2-EF27-CB41-BF72-452CC6D2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9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9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9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9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9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9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95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70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1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10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8609B"/>
    <w:rPr>
      <w:color w:val="666666"/>
    </w:rPr>
  </w:style>
  <w:style w:type="paragraph" w:styleId="Revision">
    <w:name w:val="Revision"/>
    <w:hidden/>
    <w:uiPriority w:val="99"/>
    <w:semiHidden/>
    <w:rsid w:val="00DB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2</cp:revision>
  <dcterms:created xsi:type="dcterms:W3CDTF">2024-11-05T00:34:00Z</dcterms:created>
  <dcterms:modified xsi:type="dcterms:W3CDTF">2024-11-05T00:34:00Z</dcterms:modified>
</cp:coreProperties>
</file>