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ECC59" w14:textId="31E3DBD3" w:rsidR="00A84761" w:rsidRPr="007F566A" w:rsidRDefault="00616959">
      <w:pPr>
        <w:rPr>
          <w:b/>
          <w:bCs/>
        </w:rPr>
      </w:pPr>
      <w:r w:rsidRPr="007F566A">
        <w:rPr>
          <w:b/>
          <w:bCs/>
        </w:rPr>
        <w:t xml:space="preserve">In Silico Estimation of the </w:t>
      </w:r>
      <w:r w:rsidR="007F566A">
        <w:rPr>
          <w:b/>
          <w:bCs/>
        </w:rPr>
        <w:t>Performance</w:t>
      </w:r>
      <w:r w:rsidRPr="007F566A">
        <w:rPr>
          <w:b/>
          <w:bCs/>
        </w:rPr>
        <w:t xml:space="preserve"> of Transcutaneous CO</w:t>
      </w:r>
      <w:r w:rsidRPr="007F566A">
        <w:rPr>
          <w:b/>
          <w:bCs/>
          <w:vertAlign w:val="subscript"/>
        </w:rPr>
        <w:t>2</w:t>
      </w:r>
      <w:r w:rsidRPr="007F566A">
        <w:rPr>
          <w:b/>
          <w:bCs/>
        </w:rPr>
        <w:t xml:space="preserve"> Sensors for Detecting Hypercapnia in </w:t>
      </w:r>
      <w:r w:rsidR="007F566A">
        <w:rPr>
          <w:b/>
          <w:bCs/>
        </w:rPr>
        <w:t xml:space="preserve">Newly Admitted </w:t>
      </w:r>
      <w:r w:rsidRPr="007F566A">
        <w:rPr>
          <w:b/>
          <w:bCs/>
        </w:rPr>
        <w:t xml:space="preserve">Inpatients  </w:t>
      </w:r>
    </w:p>
    <w:p w14:paraId="123BC81F" w14:textId="77777777" w:rsidR="00A6043D" w:rsidRDefault="00A6043D" w:rsidP="00616959"/>
    <w:p w14:paraId="641D8AD6" w14:textId="3FB6F519" w:rsidR="00616959" w:rsidRDefault="00616959" w:rsidP="00616959">
      <w:r>
        <w:t xml:space="preserve">This work is supported by a grant from the American Thoracic Society ASPIRE fellowship and the NIH </w:t>
      </w:r>
      <w:r w:rsidR="00A6043D">
        <w:t>T32</w:t>
      </w:r>
    </w:p>
    <w:p w14:paraId="24A010F4" w14:textId="77777777" w:rsidR="00616959" w:rsidRDefault="00616959" w:rsidP="00616959"/>
    <w:p w14:paraId="2D3A1F39" w14:textId="77777777" w:rsidR="00616959" w:rsidRPr="00F70102" w:rsidRDefault="00616959" w:rsidP="00616959">
      <w:pPr>
        <w:rPr>
          <w:b/>
          <w:bCs/>
        </w:rPr>
      </w:pPr>
      <w:r w:rsidRPr="00F70102">
        <w:rPr>
          <w:b/>
          <w:bCs/>
        </w:rPr>
        <w:t xml:space="preserve">Introduction: </w:t>
      </w:r>
    </w:p>
    <w:p w14:paraId="7BE92368" w14:textId="287E7A1E" w:rsidR="00616959" w:rsidRDefault="00616959" w:rsidP="00616959">
      <w:r>
        <w:t xml:space="preserve">Studies assessing the prevalence or clinical consequence of hypercapnia require reliable ascertainment of which patients have hypercapnia. </w:t>
      </w:r>
      <w:r w:rsidR="007F566A">
        <w:t xml:space="preserve">Arterial blood gas </w:t>
      </w:r>
      <w:r w:rsidR="00F0137E">
        <w:t xml:space="preserve">(ABG) </w:t>
      </w:r>
      <w:r w:rsidR="007F566A">
        <w:t>sampling is the reference standard test, but it is</w:t>
      </w:r>
      <w:r>
        <w:t xml:space="preserve"> painful</w:t>
      </w:r>
      <w:r w:rsidR="007F566A">
        <w:t xml:space="preserve">, </w:t>
      </w:r>
      <w:r>
        <w:t>can cause complications</w:t>
      </w:r>
      <w:r w:rsidR="007F566A">
        <w:t>, and so is not universally obtained.</w:t>
      </w:r>
      <w:r>
        <w:t xml:space="preserve"> We sought to combine previously reported estimates of transcutaneous CO</w:t>
      </w:r>
      <w:r w:rsidRPr="00616959">
        <w:rPr>
          <w:vertAlign w:val="subscript"/>
        </w:rPr>
        <w:t>2</w:t>
      </w:r>
      <w:r>
        <w:t xml:space="preserve"> (TcCO</w:t>
      </w:r>
      <w:r w:rsidRPr="00616959">
        <w:rPr>
          <w:vertAlign w:val="subscript"/>
        </w:rPr>
        <w:t>2</w:t>
      </w:r>
      <w:r>
        <w:t>) sensor accuracy with the distribution of arterial partial pressure of CO</w:t>
      </w:r>
      <w:r w:rsidRPr="00616959">
        <w:rPr>
          <w:vertAlign w:val="subscript"/>
        </w:rPr>
        <w:t>2</w:t>
      </w:r>
      <w:r>
        <w:t xml:space="preserve"> (PaCO</w:t>
      </w:r>
      <w:r w:rsidRPr="00616959">
        <w:rPr>
          <w:vertAlign w:val="subscript"/>
        </w:rPr>
        <w:t>2</w:t>
      </w:r>
      <w:r>
        <w:t xml:space="preserve">) results obtained across the </w:t>
      </w:r>
      <w:r w:rsidR="002A304F">
        <w:t>United States</w:t>
      </w:r>
      <w:r>
        <w:t xml:space="preserve"> to estimate whether TcCO</w:t>
      </w:r>
      <w:r w:rsidRPr="00F70102">
        <w:rPr>
          <w:vertAlign w:val="subscript"/>
        </w:rPr>
        <w:t>2</w:t>
      </w:r>
      <w:r>
        <w:t xml:space="preserve"> monitors </w:t>
      </w:r>
      <w:r w:rsidR="007F566A">
        <w:t>might</w:t>
      </w:r>
      <w:r>
        <w:t xml:space="preserve"> be used to improve hypercapnia identification among inpatients. </w:t>
      </w:r>
    </w:p>
    <w:p w14:paraId="5FDC33F3" w14:textId="77777777" w:rsidR="00616959" w:rsidRDefault="00616959" w:rsidP="00616959"/>
    <w:p w14:paraId="34CF89E9" w14:textId="77777777" w:rsidR="00616959" w:rsidRPr="00F70102" w:rsidRDefault="00616959" w:rsidP="00616959">
      <w:pPr>
        <w:rPr>
          <w:b/>
          <w:bCs/>
        </w:rPr>
      </w:pPr>
      <w:r w:rsidRPr="00F70102">
        <w:rPr>
          <w:b/>
          <w:bCs/>
        </w:rPr>
        <w:t xml:space="preserve">Methods: </w:t>
      </w:r>
    </w:p>
    <w:p w14:paraId="2BA46835" w14:textId="05851AB8" w:rsidR="002A304F" w:rsidRDefault="0036278E" w:rsidP="0036278E">
      <w:r>
        <w:t>Inpatient encounters occurring Jan 1 to Dec 31, 2022</w:t>
      </w:r>
      <w:r w:rsidR="00F70102">
        <w:t>,</w:t>
      </w:r>
      <w:r>
        <w:t xml:space="preserve"> where an arterial blood gas was drawn on the day of admission were requested </w:t>
      </w:r>
      <w:r w:rsidR="002A304F" w:rsidRPr="002A304F">
        <w:t xml:space="preserve">from the </w:t>
      </w:r>
      <w:proofErr w:type="spellStart"/>
      <w:r w:rsidR="002A304F" w:rsidRPr="002A304F">
        <w:t>TriNetX</w:t>
      </w:r>
      <w:proofErr w:type="spellEnd"/>
      <w:r w:rsidR="002A304F" w:rsidRPr="002A304F">
        <w:t xml:space="preserve"> research network (</w:t>
      </w:r>
      <w:proofErr w:type="spellStart"/>
      <w:r w:rsidR="002A304F" w:rsidRPr="002A304F">
        <w:t>TriNetX</w:t>
      </w:r>
      <w:proofErr w:type="spellEnd"/>
      <w:r w:rsidR="002A304F" w:rsidRPr="002A304F">
        <w:t>, LLC. Cambridge, Massachusetts)</w:t>
      </w:r>
      <w:r w:rsidR="002A304F">
        <w:t xml:space="preserve">, which </w:t>
      </w:r>
      <w:r w:rsidR="00F70102">
        <w:t>aggregates</w:t>
      </w:r>
      <w:r w:rsidR="002A304F">
        <w:t xml:space="preserve"> electronic health record data from 76 medical centers across the United States</w:t>
      </w:r>
      <w:r w:rsidR="00F70102">
        <w:t xml:space="preserve"> summarizing the care roughly 115 million patients.</w:t>
      </w:r>
      <w:r>
        <w:t xml:space="preserve"> </w:t>
      </w:r>
      <w:r w:rsidR="0038609B">
        <w:t>We simulated a TcCO</w:t>
      </w:r>
      <w:r w:rsidR="0038609B" w:rsidRPr="00F70102">
        <w:rPr>
          <w:vertAlign w:val="subscript"/>
        </w:rPr>
        <w:t>2</w:t>
      </w:r>
      <w:r w:rsidR="0038609B">
        <w:t xml:space="preserve"> reading for each PaCO</w:t>
      </w:r>
      <w:r w:rsidR="0038609B" w:rsidRPr="00F70102">
        <w:rPr>
          <w:vertAlign w:val="subscript"/>
        </w:rPr>
        <w:t>2</w:t>
      </w:r>
      <w:r w:rsidR="0038609B">
        <w:t xml:space="preserve"> measurement using</w:t>
      </w:r>
      <w:r w:rsidR="00F0137E">
        <w:t xml:space="preserve"> test performance</w:t>
      </w:r>
      <w:r w:rsidR="0038609B">
        <w:t xml:space="preserve"> estimates from the</w:t>
      </w:r>
      <w:r w:rsidR="00F0137E" w:rsidRPr="00F0137E">
        <w:t xml:space="preserve"> </w:t>
      </w:r>
      <w:r w:rsidR="00F0137E">
        <w:t>72 study- (2817 patients-)</w:t>
      </w:r>
      <w:r w:rsidR="0038609B">
        <w:t xml:space="preserve"> meta-analysis by </w:t>
      </w:r>
      <w:r>
        <w:t>Conway et al</w:t>
      </w:r>
      <w:r w:rsidR="00F70102">
        <w:t xml:space="preserve">. </w:t>
      </w:r>
      <w:r>
        <w:t>(Thorax, 2017</w:t>
      </w:r>
      <w:r w:rsidR="00F0137E">
        <w:t>.</w:t>
      </w:r>
      <w:r w:rsidR="007F566A">
        <w:t xml:space="preserve"> </w:t>
      </w:r>
      <w:r w:rsidR="00F0137E">
        <w:t>M</w:t>
      </w:r>
      <w:r w:rsidR="00F70102">
        <w:t xml:space="preserve">ean </w:t>
      </w:r>
      <w:r>
        <w:t>bias</w:t>
      </w:r>
      <w:r w:rsidR="00F0137E">
        <w:t xml:space="preserve">: </w:t>
      </w:r>
      <w:r>
        <w:t>TcCO</w:t>
      </w:r>
      <w:r w:rsidRPr="00F70102">
        <w:rPr>
          <w:vertAlign w:val="subscript"/>
        </w:rPr>
        <w:t>2</w:t>
      </w:r>
      <w:r>
        <w:t xml:space="preserve"> 0.</w:t>
      </w:r>
      <w:r w:rsidR="00764E6D">
        <w:t>0851</w:t>
      </w:r>
      <w:r>
        <w:t xml:space="preserve"> mmHg lower than PaCO</w:t>
      </w:r>
      <w:r w:rsidRPr="00F70102">
        <w:rPr>
          <w:vertAlign w:val="subscript"/>
        </w:rPr>
        <w:t>2</w:t>
      </w:r>
      <w:r w:rsidR="00F0137E">
        <w:t>;</w:t>
      </w:r>
      <w:r w:rsidR="0038609B">
        <w:t xml:space="preserve"> </w:t>
      </w:r>
      <w:r w:rsidR="00AA7DE6">
        <w:t>pool</w:t>
      </w:r>
      <w:r w:rsidR="00F0137E">
        <w:t>ed</w:t>
      </w:r>
      <w:r w:rsidR="00AA7DE6">
        <w:t xml:space="preserve"> within-study </w:t>
      </w:r>
      <w:r>
        <w:t>standard deviation of</w:t>
      </w:r>
      <w:r w:rsidR="007F566A">
        <w:t xml:space="preserve"> the</w:t>
      </w:r>
      <w:r>
        <w:t xml:space="preserve"> </w:t>
      </w:r>
      <w:r w:rsidR="007F566A">
        <w:t>dis</w:t>
      </w:r>
      <w:r w:rsidR="0038609B">
        <w:t xml:space="preserve">agreement of </w:t>
      </w:r>
      <w:r w:rsidR="00764E6D">
        <w:t>3.51</w:t>
      </w:r>
      <w:r>
        <w:t xml:space="preserve"> mmHg</w:t>
      </w:r>
      <w:r w:rsidR="00F0137E">
        <w:t>)</w:t>
      </w:r>
      <w:r w:rsidR="00F70102">
        <w:t xml:space="preserve">. </w:t>
      </w:r>
      <w:r w:rsidR="007F566A">
        <w:t>Simulated r</w:t>
      </w:r>
      <w:r w:rsidR="0038609B">
        <w:t>eadings were classified as true negatives (both PaCO</w:t>
      </w:r>
      <w:r w:rsidR="0038609B" w:rsidRPr="0038609B">
        <w:rPr>
          <w:vertAlign w:val="subscript"/>
        </w:rPr>
        <w:t>2</w:t>
      </w:r>
      <w:r w:rsidR="0038609B">
        <w:t xml:space="preserve"> and TcCO</w:t>
      </w:r>
      <w:r w:rsidR="0038609B" w:rsidRPr="0038609B">
        <w:rPr>
          <w:vertAlign w:val="subscript"/>
        </w:rPr>
        <w:t>2</w:t>
      </w:r>
      <w:r w:rsidR="0038609B">
        <w:t xml:space="preserve"> &lt; 45 mmHg),</w:t>
      </w:r>
      <w:r w:rsidR="00C5197E" w:rsidRPr="00C5197E">
        <w:t xml:space="preserve"> </w:t>
      </w:r>
      <w:r w:rsidR="00C5197E">
        <w:t xml:space="preserve">false positive (PaCO2 &lt; 45 </w:t>
      </w:r>
      <w:r w:rsidR="00F0137E">
        <w:t>mmHg but</w:t>
      </w:r>
      <w:r w:rsidR="00C5197E">
        <w:t xml:space="preserve"> TcCO2 </w:t>
      </w:r>
      <w:r w:rsidR="00C5197E" w:rsidRPr="0038609B">
        <w:t>≥</w:t>
      </w:r>
      <w:r w:rsidR="00C5197E">
        <w:t xml:space="preserve"> 45 mmHg), </w:t>
      </w:r>
      <w:r w:rsidR="0038609B">
        <w:t>true positive (both PaCO2 and TcCO</w:t>
      </w:r>
      <w:r w:rsidR="0038609B" w:rsidRPr="0038609B">
        <w:rPr>
          <w:vertAlign w:val="subscript"/>
        </w:rPr>
        <w:t>2</w:t>
      </w:r>
      <w:r w:rsidR="0038609B">
        <w:t xml:space="preserve"> </w:t>
      </w:r>
      <w:r w:rsidR="0038609B" w:rsidRPr="0038609B">
        <w:t>≥</w:t>
      </w:r>
      <w:r w:rsidR="0038609B">
        <w:t xml:space="preserve"> 45 mmHg</w:t>
      </w:r>
      <w:r w:rsidR="007F566A">
        <w:t xml:space="preserve">), or a </w:t>
      </w:r>
      <w:r w:rsidR="00C5197E">
        <w:t>false negative (PaCO</w:t>
      </w:r>
      <w:r w:rsidR="00C5197E" w:rsidRPr="0038609B">
        <w:rPr>
          <w:vertAlign w:val="subscript"/>
        </w:rPr>
        <w:t>2</w:t>
      </w:r>
      <w:r w:rsidR="00C5197E">
        <w:t xml:space="preserve"> </w:t>
      </w:r>
      <w:r w:rsidR="00C5197E" w:rsidRPr="0038609B">
        <w:t>≥</w:t>
      </w:r>
      <w:r w:rsidR="00C5197E">
        <w:t xml:space="preserve"> 45 mmHg but TcCO</w:t>
      </w:r>
      <w:r w:rsidR="00C5197E" w:rsidRPr="0038609B">
        <w:rPr>
          <w:vertAlign w:val="subscript"/>
        </w:rPr>
        <w:t>2</w:t>
      </w:r>
      <w:r w:rsidR="00C5197E">
        <w:t xml:space="preserve"> &lt; 45 </w:t>
      </w:r>
      <w:commentRangeStart w:id="0"/>
      <w:commentRangeStart w:id="1"/>
      <w:r w:rsidR="00C5197E">
        <w:t>mmHg</w:t>
      </w:r>
      <w:commentRangeEnd w:id="0"/>
      <w:r w:rsidR="00DE0CE4">
        <w:rPr>
          <w:rStyle w:val="CommentReference"/>
        </w:rPr>
        <w:commentReference w:id="0"/>
      </w:r>
      <w:commentRangeEnd w:id="1"/>
      <w:r w:rsidR="00B756C4">
        <w:rPr>
          <w:rStyle w:val="CommentReference"/>
        </w:rPr>
        <w:commentReference w:id="1"/>
      </w:r>
      <w:r w:rsidR="00C5197E">
        <w:t>).</w:t>
      </w:r>
    </w:p>
    <w:p w14:paraId="00CBF9DC" w14:textId="46C3D247" w:rsidR="00616959" w:rsidRDefault="00616959" w:rsidP="00616959"/>
    <w:p w14:paraId="29372910" w14:textId="20E06FE5" w:rsidR="00F70102" w:rsidRPr="0038609B" w:rsidRDefault="00F70102" w:rsidP="00616959">
      <w:pPr>
        <w:rPr>
          <w:b/>
          <w:bCs/>
        </w:rPr>
      </w:pPr>
      <w:r w:rsidRPr="0038609B">
        <w:rPr>
          <w:b/>
          <w:bCs/>
        </w:rPr>
        <w:t xml:space="preserve">Results: </w:t>
      </w:r>
    </w:p>
    <w:p w14:paraId="6048517E" w14:textId="56D046FD" w:rsidR="00AA7DE6" w:rsidRDefault="00F70102" w:rsidP="00616959">
      <w:r w:rsidRPr="00F70102">
        <w:t>1</w:t>
      </w:r>
      <w:r w:rsidR="00B756C4">
        <w:t>58</w:t>
      </w:r>
      <w:r w:rsidRPr="00F70102">
        <w:t>,</w:t>
      </w:r>
      <w:r w:rsidR="00B756C4">
        <w:t>228</w:t>
      </w:r>
      <w:r>
        <w:t xml:space="preserve"> arterial blood gasses showed a mean PaCO</w:t>
      </w:r>
      <w:r w:rsidRPr="00F70102">
        <w:rPr>
          <w:vertAlign w:val="subscript"/>
        </w:rPr>
        <w:t>2</w:t>
      </w:r>
      <w:r>
        <w:t xml:space="preserve"> of 42.</w:t>
      </w:r>
      <w:r w:rsidR="00B756C4">
        <w:t>6</w:t>
      </w:r>
      <w:r>
        <w:t xml:space="preserve"> (SD 1</w:t>
      </w:r>
      <w:r w:rsidR="00B756C4">
        <w:t>7</w:t>
      </w:r>
      <w:r>
        <w:t>.</w:t>
      </w:r>
      <w:r w:rsidR="00B756C4">
        <w:t>3</w:t>
      </w:r>
      <w:r>
        <w:t xml:space="preserve">) mmHg. </w:t>
      </w:r>
      <w:r w:rsidR="00F0137E">
        <w:t xml:space="preserve">Hypercapnia was present in </w:t>
      </w:r>
      <w:r w:rsidR="00B756C4">
        <w:t>47</w:t>
      </w:r>
      <w:r w:rsidR="00F0137E">
        <w:t>,</w:t>
      </w:r>
      <w:r w:rsidR="00B756C4">
        <w:t>995</w:t>
      </w:r>
      <w:r w:rsidR="00F0137E">
        <w:t xml:space="preserve"> (</w:t>
      </w:r>
      <w:r w:rsidR="00B756C4">
        <w:t>30.3</w:t>
      </w:r>
      <w:r w:rsidR="00F0137E">
        <w:t xml:space="preserve">%). </w:t>
      </w:r>
      <w:r w:rsidR="007F566A">
        <w:t>S</w:t>
      </w:r>
      <w:r w:rsidR="0038609B">
        <w:t xml:space="preserve">imulated </w:t>
      </w:r>
      <w:r w:rsidR="007F566A">
        <w:t xml:space="preserve">paired </w:t>
      </w:r>
      <w:r w:rsidR="0038609B">
        <w:t xml:space="preserve">TcCO2 measurements would identify </w:t>
      </w:r>
      <w:r w:rsidR="007F566A">
        <w:t>1</w:t>
      </w:r>
      <w:r w:rsidR="00AA7DE6">
        <w:t>0</w:t>
      </w:r>
      <w:r w:rsidR="00B756C4">
        <w:t>3</w:t>
      </w:r>
      <w:r w:rsidR="007F566A">
        <w:t>,</w:t>
      </w:r>
      <w:r w:rsidR="00B756C4">
        <w:t>246</w:t>
      </w:r>
      <w:r w:rsidR="007F566A">
        <w:t xml:space="preserve"> (6</w:t>
      </w:r>
      <w:r w:rsidR="00B756C4">
        <w:t>5</w:t>
      </w:r>
      <w:r w:rsidR="007F566A">
        <w:t>.</w:t>
      </w:r>
      <w:r w:rsidR="00B756C4">
        <w:t>3</w:t>
      </w:r>
      <w:r w:rsidR="007F566A">
        <w:t>%) as</w:t>
      </w:r>
      <w:r w:rsidR="00F0137E">
        <w:t xml:space="preserve"> a </w:t>
      </w:r>
      <w:r w:rsidR="007F566A">
        <w:t xml:space="preserve">true negative, </w:t>
      </w:r>
      <w:r w:rsidR="00B756C4">
        <w:t>6,977</w:t>
      </w:r>
      <w:r w:rsidR="007F566A">
        <w:t xml:space="preserve"> (</w:t>
      </w:r>
      <w:r w:rsidR="00AA7DE6">
        <w:t>4</w:t>
      </w:r>
      <w:r w:rsidR="007F566A">
        <w:t>.</w:t>
      </w:r>
      <w:r w:rsidR="00AA7DE6">
        <w:t>4</w:t>
      </w:r>
      <w:r w:rsidR="007F566A">
        <w:t>%) as</w:t>
      </w:r>
      <w:r w:rsidR="00F0137E">
        <w:t xml:space="preserve"> a</w:t>
      </w:r>
      <w:r w:rsidR="007F566A">
        <w:t xml:space="preserve"> false positive, </w:t>
      </w:r>
      <w:r w:rsidR="00B756C4">
        <w:t>41</w:t>
      </w:r>
      <w:r w:rsidR="007F566A">
        <w:t>,</w:t>
      </w:r>
      <w:r w:rsidR="00B756C4">
        <w:t>652</w:t>
      </w:r>
      <w:r w:rsidR="007F566A">
        <w:t xml:space="preserve"> (2</w:t>
      </w:r>
      <w:r w:rsidR="00AA7DE6">
        <w:t>6</w:t>
      </w:r>
      <w:r w:rsidR="007F566A">
        <w:t>.</w:t>
      </w:r>
      <w:r w:rsidR="00B756C4">
        <w:t>32</w:t>
      </w:r>
      <w:r w:rsidR="007F566A">
        <w:t xml:space="preserve">%) as </w:t>
      </w:r>
      <w:r w:rsidR="00F0137E">
        <w:t xml:space="preserve">a </w:t>
      </w:r>
      <w:r w:rsidR="007F566A">
        <w:t xml:space="preserve">true positive, and </w:t>
      </w:r>
      <w:r w:rsidR="00AA7DE6">
        <w:t>6</w:t>
      </w:r>
      <w:r w:rsidR="007F566A">
        <w:t>,</w:t>
      </w:r>
      <w:r w:rsidR="00B756C4">
        <w:t>343</w:t>
      </w:r>
      <w:r w:rsidR="007F566A">
        <w:t xml:space="preserve"> (</w:t>
      </w:r>
      <w:r w:rsidR="00AA7DE6">
        <w:t>4</w:t>
      </w:r>
      <w:r w:rsidR="007F566A">
        <w:t>.</w:t>
      </w:r>
      <w:r w:rsidR="00B756C4">
        <w:t>0</w:t>
      </w:r>
      <w:r w:rsidR="007F566A">
        <w:t>%) as</w:t>
      </w:r>
      <w:r w:rsidR="00F0137E">
        <w:t xml:space="preserve"> a</w:t>
      </w:r>
      <w:r w:rsidR="007F566A">
        <w:t xml:space="preserve"> false</w:t>
      </w:r>
      <w:r w:rsidR="00C5197E">
        <w:t xml:space="preserve"> negative (Figure 1). The estimated sensitivity is </w:t>
      </w:r>
      <w:r w:rsidR="00AA7DE6">
        <w:t>86</w:t>
      </w:r>
      <w:r w:rsidR="00C5197E">
        <w:t>.8%, specificity is 9</w:t>
      </w:r>
      <w:r w:rsidR="00AA7DE6">
        <w:t>3</w:t>
      </w:r>
      <w:r w:rsidR="00C5197E">
        <w:t>.</w:t>
      </w:r>
      <w:r w:rsidR="00AA7DE6">
        <w:t>6</w:t>
      </w:r>
      <w:r w:rsidR="00C5197E">
        <w:t xml:space="preserve">%, negative predictive value is </w:t>
      </w:r>
      <w:r w:rsidR="00AA7DE6">
        <w:t>8</w:t>
      </w:r>
      <w:r w:rsidR="00C5197E">
        <w:t>5.9%, and positive predictive value is 9</w:t>
      </w:r>
      <w:r w:rsidR="00AA7DE6">
        <w:t>4</w:t>
      </w:r>
      <w:r w:rsidR="00C5197E">
        <w:t>.</w:t>
      </w:r>
      <w:r w:rsidR="00AA7DE6">
        <w:t>0</w:t>
      </w:r>
      <w:r w:rsidR="00C5197E">
        <w:t xml:space="preserve">%.  </w:t>
      </w:r>
    </w:p>
    <w:p w14:paraId="1AA256F0" w14:textId="77777777" w:rsidR="00AA7DE6" w:rsidRDefault="00AA7DE6" w:rsidP="00616959"/>
    <w:p w14:paraId="196D544E" w14:textId="74B9607D" w:rsidR="00616959" w:rsidRPr="0038609B" w:rsidRDefault="0038609B" w:rsidP="00616959">
      <w:pPr>
        <w:rPr>
          <w:b/>
          <w:bCs/>
        </w:rPr>
      </w:pPr>
      <w:r w:rsidRPr="0038609B">
        <w:rPr>
          <w:b/>
          <w:bCs/>
        </w:rPr>
        <w:t xml:space="preserve">Conclusions: </w:t>
      </w:r>
    </w:p>
    <w:p w14:paraId="55373510" w14:textId="617AFBF9" w:rsidR="00616959" w:rsidRDefault="0038609B">
      <w:r>
        <w:t>Many</w:t>
      </w:r>
      <w:r w:rsidR="007F566A">
        <w:t xml:space="preserve"> newly</w:t>
      </w:r>
      <w:r>
        <w:t xml:space="preserve"> </w:t>
      </w:r>
      <w:r w:rsidR="007F566A">
        <w:t xml:space="preserve">admitted </w:t>
      </w:r>
      <w:r>
        <w:t>patients with hypercapnia have substantial PaCO</w:t>
      </w:r>
      <w:r w:rsidRPr="0038609B">
        <w:rPr>
          <w:vertAlign w:val="subscript"/>
        </w:rPr>
        <w:t>2</w:t>
      </w:r>
      <w:r>
        <w:t xml:space="preserve"> elevation</w:t>
      </w:r>
      <w:r w:rsidR="007F566A">
        <w:t>, so a</w:t>
      </w:r>
      <w:r>
        <w:t xml:space="preserve"> binary determination of whether hypercapnia is present is unlikely to change </w:t>
      </w:r>
      <w:r w:rsidR="007F566A">
        <w:t>if reported rates of concordance between TcCO</w:t>
      </w:r>
      <w:r w:rsidR="007F566A" w:rsidRPr="007F566A">
        <w:rPr>
          <w:vertAlign w:val="subscript"/>
        </w:rPr>
        <w:t>2</w:t>
      </w:r>
      <w:r w:rsidR="007F566A">
        <w:t xml:space="preserve"> and PaCO</w:t>
      </w:r>
      <w:r w:rsidR="007F566A" w:rsidRPr="007F566A">
        <w:rPr>
          <w:vertAlign w:val="subscript"/>
        </w:rPr>
        <w:t>2</w:t>
      </w:r>
      <w:r w:rsidR="007F566A">
        <w:t xml:space="preserve"> are accurate.</w:t>
      </w:r>
      <w:r w:rsidR="00F0137E">
        <w:t xml:space="preserve"> However, one limitation is that</w:t>
      </w:r>
      <w:r w:rsidR="00C5197E">
        <w:t xml:space="preserve"> patients who</w:t>
      </w:r>
      <w:r w:rsidR="00F0137E">
        <w:t xml:space="preserve"> receive arterial blood gasses may have higher PaCO</w:t>
      </w:r>
      <w:r w:rsidR="00F0137E" w:rsidRPr="00C5197E">
        <w:rPr>
          <w:vertAlign w:val="subscript"/>
        </w:rPr>
        <w:t>2</w:t>
      </w:r>
      <w:r w:rsidR="00F0137E">
        <w:t xml:space="preserve"> elevations than patients who are currently missed. This would lead to a decreased accuracy of TcCO2 among all patients with hypercapnia as compared with the subset who receive ABGs</w:t>
      </w:r>
      <w:r w:rsidR="00C5197E">
        <w:t xml:space="preserve">. </w:t>
      </w:r>
      <w:r w:rsidR="00C5197E">
        <w:lastRenderedPageBreak/>
        <w:t xml:space="preserve">Additionally, </w:t>
      </w:r>
      <w:r w:rsidR="00F0137E">
        <w:t>the true distribution of disagreement TcCO</w:t>
      </w:r>
      <w:r w:rsidR="00F0137E" w:rsidRPr="00C5197E">
        <w:rPr>
          <w:vertAlign w:val="subscript"/>
        </w:rPr>
        <w:t>2</w:t>
      </w:r>
      <w:r w:rsidR="00F0137E">
        <w:t>-PaCO</w:t>
      </w:r>
      <w:r w:rsidR="00F0137E" w:rsidRPr="00C5197E">
        <w:rPr>
          <w:vertAlign w:val="subscript"/>
        </w:rPr>
        <w:t>2</w:t>
      </w:r>
      <w:r w:rsidR="00F0137E">
        <w:t xml:space="preserve"> may not be Gaussian and </w:t>
      </w:r>
      <w:r w:rsidR="00C5197E">
        <w:t>the uncertainty of TcCO</w:t>
      </w:r>
      <w:r w:rsidR="00C5197E" w:rsidRPr="00C5197E">
        <w:rPr>
          <w:vertAlign w:val="subscript"/>
        </w:rPr>
        <w:t>2</w:t>
      </w:r>
      <w:r w:rsidR="00C5197E">
        <w:t>-PaCO</w:t>
      </w:r>
      <w:r w:rsidR="00C5197E" w:rsidRPr="00C5197E">
        <w:rPr>
          <w:vertAlign w:val="subscript"/>
        </w:rPr>
        <w:t>2</w:t>
      </w:r>
      <w:r w:rsidR="00C5197E">
        <w:t xml:space="preserve"> agreement was not explicitly modeled. </w:t>
      </w:r>
    </w:p>
    <w:p w14:paraId="3F3D0206" w14:textId="77777777" w:rsidR="0038609B" w:rsidRDefault="0038609B"/>
    <w:p w14:paraId="2601851D" w14:textId="3A1F8036" w:rsidR="0038609B" w:rsidRDefault="00764E6D">
      <w:r w:rsidRPr="00764E6D">
        <w:rPr>
          <w:noProof/>
        </w:rPr>
        <w:drawing>
          <wp:inline distT="0" distB="0" distL="0" distR="0" wp14:anchorId="65865DF9" wp14:editId="40852626">
            <wp:extent cx="5943600" cy="3962400"/>
            <wp:effectExtent l="0" t="0" r="0" b="0"/>
            <wp:docPr id="883483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4833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60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Brian Locke" w:date="2024-05-27T11:51:00Z" w:initials="BL">
    <w:p w14:paraId="5CB90F6C" w14:textId="77777777" w:rsidR="00DE0CE4" w:rsidRDefault="00DE0CE4" w:rsidP="00DE0CE4">
      <w:r>
        <w:rPr>
          <w:rStyle w:val="CommentReference"/>
        </w:rPr>
        <w:annotationRef/>
      </w:r>
      <w:r>
        <w:rPr>
          <w:sz w:val="20"/>
          <w:szCs w:val="20"/>
        </w:rPr>
        <w:t xml:space="preserve">add inverse propensity weighting? </w:t>
      </w:r>
    </w:p>
  </w:comment>
  <w:comment w:id="1" w:author="Brian Locke" w:date="2024-05-29T17:13:00Z" w:initials="BL">
    <w:p w14:paraId="7BC3E6D4" w14:textId="77777777" w:rsidR="00B756C4" w:rsidRDefault="00B756C4" w:rsidP="00B756C4">
      <w:r>
        <w:rPr>
          <w:rStyle w:val="CommentReference"/>
        </w:rPr>
        <w:annotationRef/>
      </w:r>
      <w:r>
        <w:rPr>
          <w:sz w:val="20"/>
          <w:szCs w:val="20"/>
        </w:rPr>
        <w:t xml:space="preserve"> 47,995       30.33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CB90F6C" w15:done="0"/>
  <w15:commentEx w15:paraId="7BC3E6D4" w15:paraIdParent="5CB90F6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4E7E57CD" w16cex:dateUtc="2024-05-27T17:51:00Z"/>
  <w16cex:commentExtensible w16cex:durableId="5D34067A" w16cex:dateUtc="2024-05-29T23:1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CB90F6C" w16cid:durableId="4E7E57CD"/>
  <w16cid:commentId w16cid:paraId="7BC3E6D4" w16cid:durableId="5D34067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rian Locke">
    <w15:presenceInfo w15:providerId="Windows Live" w15:userId="0f5bdfad153c6e2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959"/>
    <w:rsid w:val="00033176"/>
    <w:rsid w:val="0004662F"/>
    <w:rsid w:val="0020792F"/>
    <w:rsid w:val="002A304F"/>
    <w:rsid w:val="0036278E"/>
    <w:rsid w:val="0038609B"/>
    <w:rsid w:val="004D3949"/>
    <w:rsid w:val="00616959"/>
    <w:rsid w:val="00764E6D"/>
    <w:rsid w:val="007C6803"/>
    <w:rsid w:val="007F566A"/>
    <w:rsid w:val="00A6043D"/>
    <w:rsid w:val="00A83C35"/>
    <w:rsid w:val="00A84761"/>
    <w:rsid w:val="00AA7DE6"/>
    <w:rsid w:val="00B62063"/>
    <w:rsid w:val="00B756C4"/>
    <w:rsid w:val="00C5197E"/>
    <w:rsid w:val="00DE0CE4"/>
    <w:rsid w:val="00F0137E"/>
    <w:rsid w:val="00F70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AA12C1"/>
  <w15:chartTrackingRefBased/>
  <w15:docId w15:val="{D1DB3FD2-EF27-CB41-BF72-452CC6D24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69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69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69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69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69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695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695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695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695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69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69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69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69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69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69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69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69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69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695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69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695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69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695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69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69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69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69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69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6959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F701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010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01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01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0102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38609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theme" Target="theme/theme1.xml"/><Relationship Id="rId5" Type="http://schemas.microsoft.com/office/2011/relationships/commentsExtended" Target="commentsExtended.xml"/><Relationship Id="rId10" Type="http://schemas.microsoft.com/office/2011/relationships/people" Target="people.xml"/><Relationship Id="rId4" Type="http://schemas.openxmlformats.org/officeDocument/2006/relationships/comments" Target="commen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Locke</dc:creator>
  <cp:keywords/>
  <dc:description/>
  <cp:lastModifiedBy>Brian Locke</cp:lastModifiedBy>
  <cp:revision>6</cp:revision>
  <dcterms:created xsi:type="dcterms:W3CDTF">2024-05-25T23:44:00Z</dcterms:created>
  <dcterms:modified xsi:type="dcterms:W3CDTF">2024-05-30T17:26:00Z</dcterms:modified>
</cp:coreProperties>
</file>