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DBF6" w14:textId="77777777" w:rsidR="00F14FA7" w:rsidRDefault="00F14FA7" w:rsidP="00F14FA7"/>
    <w:p w14:paraId="5E655B29" w14:textId="77777777" w:rsidR="00FC5A12" w:rsidRDefault="00FC5A12" w:rsidP="00F14FA7"/>
    <w:p w14:paraId="1E663ED8" w14:textId="77777777" w:rsidR="00FC5A12" w:rsidRDefault="00FC5A12" w:rsidP="00F14FA7"/>
    <w:p w14:paraId="508A9663" w14:textId="005BBFEA" w:rsidR="007650E2" w:rsidRDefault="007650E2" w:rsidP="00F14FA7">
      <w:pPr>
        <w:rPr>
          <w:b/>
          <w:bCs/>
        </w:rPr>
      </w:pPr>
      <w:commentRangeStart w:id="0"/>
      <w:commentRangeStart w:id="1"/>
      <w:r>
        <w:rPr>
          <w:b/>
          <w:bCs/>
        </w:rPr>
        <w:t>Title:</w:t>
      </w:r>
      <w:commentRangeEnd w:id="0"/>
      <w:r w:rsidR="009507B7">
        <w:rPr>
          <w:rStyle w:val="CommentReference"/>
          <w:b/>
          <w:bCs/>
          <w:sz w:val="24"/>
          <w:szCs w:val="24"/>
        </w:rPr>
        <w:commentReference w:id="0"/>
      </w:r>
      <w:commentRangeEnd w:id="1"/>
      <w:r w:rsidR="006704B4">
        <w:rPr>
          <w:rStyle w:val="CommentReference"/>
          <w:b/>
          <w:bCs/>
          <w:sz w:val="24"/>
          <w:szCs w:val="24"/>
        </w:rPr>
        <w:commentReference w:id="1"/>
      </w:r>
    </w:p>
    <w:p w14:paraId="15D76628" w14:textId="1E0AC6D6" w:rsidR="007650E2" w:rsidRPr="007650E2" w:rsidRDefault="007650E2" w:rsidP="00F14FA7">
      <w:r>
        <w:t>An in-silico assessment of the accuracy of transcutaneous CO</w:t>
      </w:r>
      <w:r w:rsidR="00243FAA" w:rsidRPr="008477EE">
        <w:rPr>
          <w:vertAlign w:val="subscript"/>
        </w:rPr>
        <w:t>2</w:t>
      </w:r>
      <w:r>
        <w:t xml:space="preserve"> monitoring –</w:t>
      </w:r>
      <w:r w:rsidR="00125131">
        <w:t xml:space="preserve"> Good enough to be</w:t>
      </w:r>
      <w:r>
        <w:t xml:space="preserve"> the pulse ox of ventilation?</w:t>
      </w:r>
    </w:p>
    <w:p w14:paraId="35568DB9" w14:textId="77777777" w:rsidR="006704B4" w:rsidRDefault="006704B4">
      <w:pPr>
        <w:rPr>
          <w:b/>
          <w:bCs/>
        </w:rPr>
      </w:pPr>
    </w:p>
    <w:p w14:paraId="0415D60C" w14:textId="77777777" w:rsidR="006704B4" w:rsidRDefault="006704B4">
      <w:pPr>
        <w:rPr>
          <w:b/>
          <w:bCs/>
        </w:rPr>
      </w:pPr>
      <w:r>
        <w:rPr>
          <w:b/>
          <w:bCs/>
        </w:rPr>
        <w:t>Authors:</w:t>
      </w:r>
    </w:p>
    <w:p w14:paraId="11C7AAF0" w14:textId="77777777" w:rsidR="006704B4" w:rsidRDefault="006704B4"/>
    <w:p w14:paraId="042E44E8" w14:textId="77777777" w:rsidR="006704B4" w:rsidRDefault="006704B4">
      <w:r>
        <w:t>Dustin Anderson-Bell MD</w:t>
      </w:r>
    </w:p>
    <w:p w14:paraId="1FF2AB4C" w14:textId="27E8A8D9" w:rsidR="006704B4" w:rsidRDefault="006704B4">
      <w:r>
        <w:t>Jeanette Brown</w:t>
      </w:r>
      <w:r w:rsidR="005513E7">
        <w:t xml:space="preserve"> MD PhD</w:t>
      </w:r>
    </w:p>
    <w:p w14:paraId="0FDF18D0" w14:textId="2787F8A3" w:rsidR="0014370B" w:rsidRDefault="0014370B">
      <w:r>
        <w:t>Ramkiran Gourripeddi</w:t>
      </w:r>
      <w:r w:rsidR="005513E7">
        <w:t xml:space="preserve"> MBBS MSc</w:t>
      </w:r>
    </w:p>
    <w:p w14:paraId="57A6ACDF" w14:textId="6F9DB2BE" w:rsidR="006704B4" w:rsidRDefault="006704B4">
      <w:r>
        <w:t>? Ben Brintz</w:t>
      </w:r>
    </w:p>
    <w:p w14:paraId="213F1E9C" w14:textId="519BE01C" w:rsidR="006704B4" w:rsidRDefault="006704B4">
      <w:r>
        <w:t xml:space="preserve">? </w:t>
      </w:r>
      <w:r w:rsidR="00670CEB" w:rsidRPr="00670CEB">
        <w:t>Jason Ackrivo?</w:t>
      </w:r>
    </w:p>
    <w:p w14:paraId="2B701083" w14:textId="104D1FF1" w:rsidR="006704B4" w:rsidRPr="006704B4" w:rsidRDefault="006704B4">
      <w:r>
        <w:t xml:space="preserve">Brian W Locke, MD MSCI </w:t>
      </w:r>
      <w:r>
        <w:rPr>
          <w:b/>
          <w:bCs/>
        </w:rPr>
        <w:br w:type="page"/>
      </w:r>
    </w:p>
    <w:p w14:paraId="63B5253C" w14:textId="38DEA5C7" w:rsidR="00F14FA7" w:rsidRPr="00F70102" w:rsidRDefault="00874181" w:rsidP="00F14FA7">
      <w:pPr>
        <w:rPr>
          <w:b/>
          <w:bCs/>
        </w:rPr>
      </w:pPr>
      <w:r>
        <w:rPr>
          <w:b/>
          <w:bCs/>
        </w:rPr>
        <w:lastRenderedPageBreak/>
        <w:t>Background</w:t>
      </w:r>
      <w:r w:rsidR="00F14FA7" w:rsidRPr="00F70102">
        <w:rPr>
          <w:b/>
          <w:bCs/>
        </w:rPr>
        <w:t xml:space="preserve">: </w:t>
      </w:r>
    </w:p>
    <w:p w14:paraId="34E82531" w14:textId="5AFB4252" w:rsidR="008D49B9" w:rsidRDefault="00153679" w:rsidP="00FA0A6B">
      <w:pPr>
        <w:ind w:firstLine="720"/>
      </w:pPr>
      <w:r>
        <w:t>H</w:t>
      </w:r>
      <w:r w:rsidR="00F14FA7">
        <w:t>ypercapnic respiratory failure is a widespread</w:t>
      </w:r>
      <w:r>
        <w:t xml:space="preserve"> and consequential</w:t>
      </w:r>
      <w:r w:rsidR="00F14FA7">
        <w:t xml:space="preserve"> problem</w:t>
      </w:r>
      <w:r w:rsidR="00FC5A12">
        <w:t xml:space="preserve"> with prognostic significance</w:t>
      </w:r>
      <w:r w:rsidR="002C7987">
        <w:t>.</w:t>
      </w:r>
      <w:r w:rsidR="00FC5A12">
        <w:fldChar w:fldCharType="begin"/>
      </w:r>
      <w:r w:rsidR="005A3752">
        <w:instrText xml:space="preserve"> ADDIN ZOTERO_ITEM CSL_CITATION {"citationID":"SoxHCWxg","properties":{"formattedCitation":"\\super 1\\uc0\\u8211{}6\\nosupersub{}","plainCitation":"1–6","noteIndex":0},"citationItems":[{"id":894,"uris":["http://zotero.org/users/16023988/items/H3IRCUSS"],"itemData":{"id":894,"type":"article-journal","abstract":"AIMS: Non-invasive positive pressure ventilation rapidly improves the symptoms of acute heart failure (AHF). A portion of patients, however, are forced to be intubated even though intubation is associated with serious complications, and hypercapnia is often observed in AHF requiring intubation. The purpose of this study is to examine the clinical profile and management of hypercapnia in AHF patients.\nMETHODS AND RESULTS: We examined the arterial blood gas analysis in 193 consecutive AHF patients (73</w:instrText>
      </w:r>
      <w:r w:rsidR="005A3752">
        <w:rPr>
          <w:rFonts w:ascii="Arial" w:hAnsi="Arial" w:cs="Arial"/>
        </w:rPr>
        <w:instrText> </w:instrText>
      </w:r>
      <w:r w:rsidR="005A3752">
        <w:instrText>±</w:instrText>
      </w:r>
      <w:r w:rsidR="005A3752">
        <w:rPr>
          <w:rFonts w:ascii="Arial" w:hAnsi="Arial" w:cs="Arial"/>
        </w:rPr>
        <w:instrText> </w:instrText>
      </w:r>
      <w:r w:rsidR="005A3752">
        <w:instrText>12</w:instrText>
      </w:r>
      <w:r w:rsidR="005A3752">
        <w:rPr>
          <w:rFonts w:ascii="Arial" w:hAnsi="Arial" w:cs="Arial"/>
        </w:rPr>
        <w:instrText> </w:instrText>
      </w:r>
      <w:r w:rsidR="005A3752">
        <w:instrText>years, 61% men) at admission. Many patients (n</w:instrText>
      </w:r>
      <w:r w:rsidR="005A3752">
        <w:rPr>
          <w:rFonts w:ascii="Arial" w:hAnsi="Arial" w:cs="Arial"/>
        </w:rPr>
        <w:instrText> </w:instrText>
      </w:r>
      <w:r w:rsidR="005A3752">
        <w:instrText>=</w:instrText>
      </w:r>
      <w:r w:rsidR="005A3752">
        <w:rPr>
          <w:rFonts w:ascii="Arial" w:hAnsi="Arial" w:cs="Arial"/>
        </w:rPr>
        <w:instrText> </w:instrText>
      </w:r>
      <w:r w:rsidR="005A3752">
        <w:instrText>129, 66.8%) had already been treated with oxygen by the ambulance staff. Hypercapnia (PaCO2 at admission &gt;45</w:instrText>
      </w:r>
      <w:r w:rsidR="005A3752">
        <w:rPr>
          <w:rFonts w:ascii="Arial" w:hAnsi="Arial" w:cs="Arial"/>
        </w:rPr>
        <w:instrText> </w:instrText>
      </w:r>
      <w:r w:rsidR="005A3752">
        <w:instrText xml:space="preserve">mmHg) and hypocapnia (PaCO2 </w:instrText>
      </w:r>
      <w:r w:rsidR="005A3752">
        <w:rPr>
          <w:rFonts w:ascii="Arial" w:hAnsi="Arial" w:cs="Arial"/>
        </w:rPr>
        <w:instrText> </w:instrText>
      </w:r>
      <w:r w:rsidR="005A3752">
        <w:instrText>&lt;</w:instrText>
      </w:r>
      <w:r w:rsidR="005A3752">
        <w:rPr>
          <w:rFonts w:ascii="Arial" w:hAnsi="Arial" w:cs="Arial"/>
        </w:rPr>
        <w:instrText> </w:instrText>
      </w:r>
      <w:r w:rsidR="005A3752">
        <w:instrText>35</w:instrText>
      </w:r>
      <w:r w:rsidR="005A3752">
        <w:rPr>
          <w:rFonts w:ascii="Arial" w:hAnsi="Arial" w:cs="Arial"/>
        </w:rPr>
        <w:instrText> </w:instrText>
      </w:r>
      <w:r w:rsidR="005A3752">
        <w:instrText>mmHg) were observed in 33.7% and 32.6%, respectively. Whereas 16 (24.6%) hypercapnic patients were intubated, there were only one (1.5%) normocapnic and no hypocapnic patients intubated. Patients with hypercapnia are more likely to be in the New York Heart Association Class IV (96.9% vs. 78.9%,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to have acute onset within 6</w:instrText>
      </w:r>
      <w:r w:rsidR="005A3752">
        <w:rPr>
          <w:rFonts w:ascii="Arial" w:hAnsi="Arial" w:cs="Arial"/>
        </w:rPr>
        <w:instrText> </w:instrText>
      </w:r>
      <w:r w:rsidR="005A3752">
        <w:instrText>h (50.8% vs. 25.0%,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and to have radiographic pulmonary oedema (84.6% vs. 57.8%,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than those with hypo-normocapnia. Hypercapnia was more frequent in patients with acute cardiogenic pulmonary oedema than in those with acute decompensated heart failure (51.9% vs. 23.6%,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At discharge, hypercapnia was observed in 17.8% of patients who were hypercapnic at admission.\nCONCLUSION: Hypercapnia emerged in AHF acutely and transiently, was associated with immediate airway intervention, and was possibly involved in the pathophysiology of acute pulmonary oedema. Patients with acute onset dyspnoea should have their respiratory status carefully managed. These pathophysiological findings are expected to be utilized in treating or preventing AHF.","container-title":"ESC heart failure","DOI":"10.1002/ehf2.12023","ISSN":"2055-5822","issue":"1","journalAbbreviation":"ESC Heart Fail","language":"eng","note":"PMID: 28834643\nPMCID: PMC5746960","page":"12-19","source":"PubMed","title":"Hypercapnia in patients with acute heart failure","volume":"2","author":[{"family":"Konishi","given":"Masaaki"},{"family":"Akiyama","given":"Eiichi"},{"family":"Suzuki","given":"Hiroyuki"},{"family":"Iwahashi","given":"Noriaki"},{"family":"Maejima","given":"Nobuhiko"},{"family":"Tsukahara","given":"Kengo"},{"family":"Hibi","given":"Kiyoshi"},{"family":"Kosuge","given":"Masami"},{"family":"Ebina","given":"Toshiaki"},{"family":"Sakamaki","given":"Kentaro"},{"family":"Matsuzawa","given":"Yasushi"},{"family":"Endo","given":"Mitsuaki"},{"family":"Umemura","given":"Satoshi"},{"family":"Kimura","given":"Kazuo"}],"issued":{"date-parts":[["2015",3]]}}},{"id":890,"uris":["http://zotero.org/users/16023988/items/WBA4LSQI"],"itemData":{"id":890,"type":"article-journal","abstract":"PURPOSE: To analyze the relationship between hypercapnia developing within the first 48 h after the start of mechanical ventilation and outcome in patients with acute respiratory distress syndrome (ARDS).\nPATIENTS AND METHODS: We performed a secondary analysis of three prospective non-interventional cohort studies focusing on ARDS patients from 927 intensive care units (ICUs) in 40 countries. These patients received mechanical ventilation for more than 12 h during 1-month periods in 1998, 2004, and 2010. We used multivariable logistic regression and a propensity score analysis to examine the association between hypercapnia and ICU mortality.\nMAIN OUTCOMES: We included 1899 patients with ARDS in this study. The relationship between maximum PaCO2 in the first 48 h and mortality suggests higher mortality at or above PaCO2 of ≥50 mmHg. Patients with severe hypercapnia (PaCO2 ≥50 mmHg) had higher complication rates, more organ failures, and worse outcomes. After adjusting for age, SAPS II score, respiratory rate, positive end-expiratory pressure, PaO2/FiO2 ratio, driving pressure, pressure/volume limitation strategy (PLS), corrected minute ventilation, and presence of acidosis, severe hypercapnia was associated with increased risk of ICU mortality [odds ratio (OR) 1.93, 95% confidence interval (CI) 1.32 to 2.81; p = 0.001]. In patients with severe hypercapnia matched for all other variables, ventilation with PLS was associated with higher ICU mortality (OR 1.58, CI 95% 1.04-2.41; p = 0.032).\nCONCLUSIONS: Severe hypercapnia appears to be independently associated with higher ICU mortality in patients with ARDS.\nTRIAL REGISTRATION: Clinicaltrials.gov identifier, NCT01093482.","container-title":"Intensive Care Medicine","DOI":"10.1007/s00134-016-4611-1","ISSN":"1432-1238","issue":"2","journalAbbreviation":"Intensive Care Med","language":"eng","note":"PMID: 28108768\nPMCID: PMC5630225","page":"200-208","source":"PubMed","title":"Severe hypercapnia and outcome of mechanically ventilated patients with moderate or severe acute respiratory distress syndrome","volume":"43","author":[{"family":"Nin","given":"Nicolas"},{"family":"Muriel","given":"Alfonso"},{"family":"Peñuelas","given":"Oscar"},{"family":"Brochard","given":"Laurent"},{"family":"Lorente","given":"José Angel"},{"family":"Ferguson","given":"Niall D."},{"family":"Raymondos","given":"Konstantinos"},{"family":"Ríos","given":"Fernando"},{"family":"Violi","given":"Damian A."},{"family":"Thille","given":"Arnaud W."},{"family":"González","given":"Marco"},{"family":"Villagomez","given":"Asisclo J."},{"family":"Hurtado","given":"Javier"},{"family":"Davies","given":"Andrew R."},{"family":"Du","given":"Bin"},{"family":"Maggiore","given":"Salvatore M."},{"family":"Soto","given":"Luis"},{"family":"D'Empaire","given":"Gabriel"},{"family":"Matamis","given":"Dimitrios"},{"family":"Abroug","given":"Fekri"},{"family":"Moreno","given":"Rui P."},{"family":"Soares","given":"Marco Antonio"},{"family":"Arabi","given":"Yaseen"},{"family":"Sandi","given":"Freddy"},{"family":"Jibaja","given":"Manuel"},{"family":"Amin","given":"Pravin"},{"family":"Koh","given":"Younsuck"},{"family":"Kuiper","given":"Michael A."},{"family":"Bülow","given":"Hans-Henrik"},{"family":"Zeggwagh","given":"Amine Ali"},{"family":"Anzueto","given":"Antonio"},{"family":"Sznajder","given":"Jacob I."},{"family":"Esteban","given":"Andres"},{"literal":"VENTILA Group"}],"issued":{"date-parts":[["2017",2]]}}},{"id":885,"uris":["http://zotero.org/users/16023988/items/TCVLZ432"],"itemData":{"id":885,"type":"article-journal","abstract":"Rationale\nAcute hypercapnic respiratory failure has been shown to be associated with\nworse outcomes for various disease states, but less is known about patients\nwith compensated hypercapnic respiratory failure. Although these patients\nhave a normal pH, it remains unknown whether chronically elevated carbon\ndioxide partial pressure (Pco2), irrespective of\netiology, puts patients at risk of adverse events.\n\nObjectives\nTo understand the burden of and clinical factors associated with morbidity\nand mortality in patients with compensated hypercapnic respiratory\nfailure.\n\nMethods\nWe performed a query of the electronic medical record to identify patients\nhospitalized at the University of Michigan from January 1 to December 31,\n2018, who had compensated hypercapnia, by using a Pco2\n</w:instrText>
      </w:r>
      <w:r w:rsidR="005A3752">
        <w:rPr>
          <w:rFonts w:ascii="Cambria Math" w:hAnsi="Cambria Math" w:cs="Cambria Math"/>
        </w:rPr>
        <w:instrText>⩾</w:instrText>
      </w:r>
      <w:r w:rsidR="005A3752">
        <w:instrText xml:space="preserve"> 50 mm Hg and a pH of 7.35–7.45 on arterial blood gas . We\nobtained demographic and clinical data from the electronic medical record.\nSurvival probabilities for Pco2 subgroups\n(50.0–54.9, 55.0–64.9, and </w:instrText>
      </w:r>
      <w:r w:rsidR="005A3752">
        <w:rPr>
          <w:rFonts w:ascii="Cambria Math" w:hAnsi="Cambria Math" w:cs="Cambria Math"/>
        </w:rPr>
        <w:instrText>⩾</w:instrText>
      </w:r>
      <w:r w:rsidR="005A3752">
        <w:instrText>65.0 mm Hg) were determined\nby using the Kaplan-Meier product limit estimator. Cox proportional hazard\nmodels were constructed to test the association between\nPco2 and all-cause mortality.\n\nResults\nWe identified 491 patients with compensated hypercapnia. The mean age was\n60.5</w:instrText>
      </w:r>
      <w:r w:rsidR="005A3752">
        <w:rPr>
          <w:rFonts w:ascii="Arial" w:hAnsi="Arial" w:cs="Arial"/>
        </w:rPr>
        <w:instrText> </w:instrText>
      </w:r>
      <w:r w:rsidR="005A3752">
        <w:instrText>±</w:instrText>
      </w:r>
      <w:r w:rsidR="005A3752">
        <w:rPr>
          <w:rFonts w:ascii="Arial" w:hAnsi="Arial" w:cs="Arial"/>
        </w:rPr>
        <w:instrText> </w:instrText>
      </w:r>
      <w:r w:rsidR="005A3752">
        <w:instrText>16.2 years. Patients were 57.4% male and\n86.2% white. The mean pH and Pco2 were\n7.38</w:instrText>
      </w:r>
      <w:r w:rsidR="005A3752">
        <w:rPr>
          <w:rFonts w:ascii="Arial" w:hAnsi="Arial" w:cs="Arial"/>
        </w:rPr>
        <w:instrText> </w:instrText>
      </w:r>
      <w:r w:rsidR="005A3752">
        <w:instrText>±</w:instrText>
      </w:r>
      <w:r w:rsidR="005A3752">
        <w:rPr>
          <w:rFonts w:ascii="Arial" w:hAnsi="Arial" w:cs="Arial"/>
        </w:rPr>
        <w:instrText> </w:instrText>
      </w:r>
      <w:r w:rsidR="005A3752">
        <w:instrText>0.03 and 58.8</w:instrText>
      </w:r>
      <w:r w:rsidR="005A3752">
        <w:rPr>
          <w:rFonts w:ascii="Arial" w:hAnsi="Arial" w:cs="Arial"/>
        </w:rPr>
        <w:instrText> </w:instrText>
      </w:r>
      <w:r w:rsidR="005A3752">
        <w:instrText>±</w:instrText>
      </w:r>
      <w:r w:rsidR="005A3752">
        <w:rPr>
          <w:rFonts w:ascii="Arial" w:hAnsi="Arial" w:cs="Arial"/>
        </w:rPr>
        <w:instrText> </w:instrText>
      </w:r>
      <w:r w:rsidR="005A3752">
        <w:instrText>9.7 mm Hg,\nrespectively. There was a total of 1,030 hospitalizations, with 44.4%\nof patients having two or more admissions. The median numbers of cumulative\nhospital and intensive care unit days were 21.0 (interquartile range [IQR],\n11.0–38.0) and 7.0 (IQR, 3.0–14.0) days, respectively. Two\nhundred seventeen patients (44.2%) died over a median of 592 days. In\nunivariate analysis, every 5–mm Hg increase in\nPco2 was associated with a higher risk of all-cause\ndeath (hazard ratio, 1.09; 95% confidence interval [CI]:\n1.03–1.16;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0.004). This\nassociation was maintained after adjusting for the age, sex, body mass index\n(BMI), and Charlson comorbidity index (hazard ratio of 1.09 for every\n5–mm Hg increase in Pco2; 95% CI:\n1.02–1.16;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0.009). There\nwas a statistically significant interaction between the\nPco2 and the BMI in relation to mortality\n(P</w:instrText>
      </w:r>
      <w:r w:rsidR="005A3752">
        <w:rPr>
          <w:rFonts w:ascii="Arial" w:hAnsi="Arial" w:cs="Arial"/>
        </w:rPr>
        <w:instrText> </w:instrText>
      </w:r>
      <w:r w:rsidR="005A3752">
        <w:instrText>=</w:instrText>
      </w:r>
      <w:r w:rsidR="005A3752">
        <w:rPr>
          <w:rFonts w:ascii="Arial" w:hAnsi="Arial" w:cs="Arial"/>
        </w:rPr>
        <w:instrText> </w:instrText>
      </w:r>
      <w:r w:rsidR="005A3752">
        <w:instrText>0.01 for the interaction\nterm).\n\nConclusions\nPatients with compensated hypercapnic respiratory failure have high mortality\nand healthcare use, with higher Pco2 being associated\nwith worse survival. Hypercapnic patients with obesity have a higher risk of\ndeath with increases in Pco2.","container-title":"Annals of the American Thoracic Society","DOI":"10.1513/AnnalsATS.202009-1197OC","ISSN":"2329-6933","issue":"12","journalAbbreviation":"Ann Am Thorac Soc","note":"PMID: 33951397\nPMCID: PMC12039822","page":"2027-2032","source":"PubMed Central","title":"Mortality and Healthcare Use of Patients with Compensated Hypercapnia","volume":"18","author":[{"family":"Wilson","given":"Matthew W."},{"family":"Labaki","given":"Wassim W."},{"family":"Choi","given":"Philip J."}]}},{"id":887,"uris":["http://zotero.org/users/16023988/items/RM22FQLX"],"itemData":{"id":887,"type":"article-journal","abstract":"BACKGROUND: Non-invasive ventilation (NIV) is used to treat acute hypercapnic respiratory failure (AHRF) in patients with chronic obstructive pulmonary disease (COPD); however, long-term outcomes following discharge are largely unknown. This study aimed to characterize long-term outcomes and identify associated markers in patients with COPD after surviving the first episode of HRF requiring NIV.\nMETHODS: This study retrospectively analyzed 122 patients, mean age 62</w:instrText>
      </w:r>
      <w:r w:rsidR="005A3752">
        <w:rPr>
          <w:rFonts w:ascii="Arial" w:hAnsi="Arial" w:cs="Arial"/>
        </w:rPr>
        <w:instrText> </w:instrText>
      </w:r>
      <w:r w:rsidR="005A3752">
        <w:instrText>±</w:instrText>
      </w:r>
      <w:r w:rsidR="005A3752">
        <w:rPr>
          <w:rFonts w:ascii="Arial" w:hAnsi="Arial" w:cs="Arial"/>
        </w:rPr>
        <w:instrText> </w:instrText>
      </w:r>
      <w:r w:rsidR="005A3752">
        <w:instrText>8 years, 52% female and forced expiratory volume in 1 s (FEV1) predicted 30</w:instrText>
      </w:r>
      <w:r w:rsidR="005A3752">
        <w:rPr>
          <w:rFonts w:ascii="Arial" w:hAnsi="Arial" w:cs="Arial"/>
        </w:rPr>
        <w:instrText> </w:instrText>
      </w:r>
      <w:r w:rsidR="005A3752">
        <w:instrText>±</w:instrText>
      </w:r>
      <w:r w:rsidR="005A3752">
        <w:rPr>
          <w:rFonts w:ascii="Arial" w:hAnsi="Arial" w:cs="Arial"/>
        </w:rPr>
        <w:instrText> </w:instrText>
      </w:r>
      <w:r w:rsidR="005A3752">
        <w:instrText>13%, admitted with an acute hypercapnic exacerbation of COPD and receiving a first-ever NIV treatment between 2000 and 2012.\nRESULTS: A total of 40% of the patients required hospital readmission due to respiratory reasons within 1 year. Persistent hypercapnia leading to the prescription of domiciliary NIV, older age and lower body mass index (BMI) were risk factors for readmission due to respiratory reasons. Survival rates were 79% and 63% at 1 and 2 years after discharge, respectively. A shorter time to readmission and recurrent hypercapnic failure, lower BMI and acidemia on the first admission, as well as hypercapnia at hospital discharge were correlated with a decreased long-term survival.\nCONCLUSION: Patients with COPD surviving their first episode of AHRF requiring NIV are at high risk for readmission and death. Severe respiratory acidosis, chronic respiratory failure and a lower BMI imply shorter long-term survival.","container-title":"Wiener Klinische Wochenschrift","DOI":"10.1007/s00508-018-1364-6","ISSN":"1613-7671","issue":"19-20","journalAbbreviation":"Wien Klin Wochenschr","language":"eng","note":"PMID: 30066095\nPMCID: PMC6209011","page":"561-568","source":"PubMed","title":"Long-term outcomes after acute hypercapnic COPD exacerbation : First-ever episode of non-invasive ventilation","title-short":"Long-term outcomes after acute hypercapnic COPD exacerbation","volume":"130","author":[{"family":"Fazekas","given":"Andreas S."},{"family":"Aboulghaith","given":"Mei"},{"family":"Kriz","given":"Ruxandra C."},{"family":"Urban","given":"Matthias"},{"family":"Breyer","given":"Marie-Kathrin"},{"family":"Breyer-Kohansal","given":"Robab"},{"family":"Burghuber","given":"Otto-Chris"},{"family":"Hartl","given":"Sylvia"},{"family":"Funk","given":"Georg-Christian"}],"issued":{"date-parts":[["2018",10]]}}},{"id":892,"uris":["http://zotero.org/users/16023988/items/NSUZ37SE"],"itemData":{"id":892,"type":"article-journal","abstract":"OBJECTIVES: Lung-protective ventilation is used to prevent further lung injury in patients on invasive mechanical ventilation. However, lung-protective ventilation can cause hypercapnia and hypercapnic acidosis. There are no large clinical studies evaluating the effects of hypercapnia and hypercapnic acidosis in patients requiring mechanical ventilation.\nDESIGN: Multicenter, binational, retrospective study aimed to assess the impact of compensated hypercapnia and hypercapnic acidosis in patients receiving mechanical ventilation.\nSETTINGS: Data were extracted from the Australian and New Zealand Intensive Care Society Centre for Outcome and Resource Evaluation Adult Patient Database over a 14-year period where 171 ICUs contributed deidentified data.\nPATIENTS: Patients were classified into three groups based on a combination of pH and carbon dioxide levels (normocapnia and normal pH, compensated hypercapnia [normal pH with elevated carbon dioxide], and hypercapnic acidosis) during the first 24 hours of ICU stay. Logistic regression analysis was used to identify the independent association of hypercapnia and hypercapnic acidosis with hospital mortality.\nINTERVENTIONS: Nil.\nMEASUREMENTS AND MAIN RESULTS: A total of 252,812 patients (normocapnia and normal pH, 110,104; compensated hypercapnia, 20,463; and hypercapnic acidosis, 122,245) were included in analysis. Patients with compensated hypercapnia and hypercapnic acidosis had higher Acute Physiology and Chronic Health Evaluation III scores (49.2 vs 53.2 vs 68.6; p &lt; 0.01). The mortality was higher in hypercapnic acidosis patients when compared with other groups, with the lowest mortality in patients with normocapnia and normal pH. After adjusting for severity of illness, the adjusted odds ratio for hospital mortality was higher in hypercapnic acidosis patients (odds ratio, 1.74; 95% CI, 1.62-1.88) and compensated hypercapnia (odds ratio, 1.18; 95% CI, 1.10-1.26) when compared with patients with normocapnia and normal pH (p &lt; 0.001). In patients with hypercapnic acidosis, the mortality increased with increasing PCO2 until 65</w:instrText>
      </w:r>
      <w:r w:rsidR="005A3752">
        <w:rPr>
          <w:rFonts w:ascii="Arial" w:hAnsi="Arial" w:cs="Arial"/>
        </w:rPr>
        <w:instrText> </w:instrText>
      </w:r>
      <w:r w:rsidR="005A3752">
        <w:instrText xml:space="preserve">mm Hg after which the mortality plateaued.\nCONCLUSIONS: Hypercapnic acidosis during the first 24 hours of intensive care admission is more strongly associated with increased hospital mortality than compensated hypercapnia or normocapnia.","container-title":"Critical Care Medicine","DOI":"10.1097/CCM.0000000000002332","ISSN":"1530-0293","issue":"7","journalAbbreviation":"Crit Care Med","language":"eng","note":"PMID: 28406813","page":"e649-e656","source":"PubMed","title":"Effects of Hypercapnia and Hypercapnic Acidosis on Hospital Mortality in Mechanically Ventilated Patients","volume":"45","author":[{"family":"Tiruvoipati","given":"Ravindranath"},{"family":"Pilcher","given":"David"},{"family":"Buscher","given":"Hergen"},{"family":"Botha","given":"John"},{"family":"Bailey","given":"Michael"}],"issued":{"date-parts":[["2017",7]]}}},{"id":941,"uris":["http://zotero.org/users/16023988/items/923WKP54"],"itemData":{"id":941,"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failure.","container-title":"Chest","DOI":"10.1016/j.chest.2025.08.002","ISSN":"1931-3543","journalAbbreviation":"Chest","language":"eng","note":"PMID: 40885535","page":"S0012-3692(25)05126-8","source":"PubMed","title":"The Consistency of Hypercapnic Respiratory Failure Case Definitions in Electronic Health Record Data","author":[{"family":"Locke","given":"Brian W."},{"family":"Richards","given":"W. Wayne"},{"family":"Gouripeddi","given":"Ramkiran"},{"family":"Brown","given":"Jeanette P."},{"family":"Anderson-Bell","given":"Dustin"},{"family":"Finkelstein","given":"Joseph"},{"family":"Sundar","given":"Krishna M."},{"family":"Peltan","given":"Ithan D."},{"family":"Brown","given":"Samuel M."}],"issued":{"date-parts":[["2025",8,28]]}}}],"schema":"https://github.com/citation-style-language/schema/raw/master/csl-citation.json"} </w:instrText>
      </w:r>
      <w:r w:rsidR="00FC5A12">
        <w:fldChar w:fldCharType="separate"/>
      </w:r>
      <w:r w:rsidR="005A3752" w:rsidRPr="005A3752">
        <w:rPr>
          <w:rFonts w:ascii="Aptos" w:cs="Times New Roman"/>
          <w:kern w:val="0"/>
          <w:vertAlign w:val="superscript"/>
        </w:rPr>
        <w:t>1–6</w:t>
      </w:r>
      <w:r w:rsidR="00FC5A12">
        <w:fldChar w:fldCharType="end"/>
      </w:r>
      <w:r>
        <w:t xml:space="preserve"> However, </w:t>
      </w:r>
      <w:r w:rsidR="00F14FA7">
        <w:t xml:space="preserve">the diagnostic gold standard of arterial </w:t>
      </w:r>
      <w:r w:rsidR="002934ED">
        <w:t xml:space="preserve">blood gas (ABG) </w:t>
      </w:r>
      <w:r w:rsidR="00F14FA7">
        <w:t>sampling</w:t>
      </w:r>
      <w:r w:rsidR="008940FB">
        <w:t xml:space="preserve"> requires expertise and</w:t>
      </w:r>
      <w:r w:rsidR="00F14FA7">
        <w:t xml:space="preserve"> has significant drawbacks to regular performance such as pain and complications </w:t>
      </w:r>
      <w:r w:rsidR="00331C5E">
        <w:t>including</w:t>
      </w:r>
      <w:r w:rsidR="00F14FA7">
        <w:t xml:space="preserve"> arterial injury</w:t>
      </w:r>
      <w:r w:rsidR="005279F0">
        <w:t xml:space="preserve">, </w:t>
      </w:r>
      <w:r w:rsidR="00F14FA7">
        <w:t>thrombosis</w:t>
      </w:r>
      <w:r w:rsidR="005279F0">
        <w:t>, and blood stream infections</w:t>
      </w:r>
      <w:r w:rsidR="002C7987">
        <w:t>.</w:t>
      </w:r>
      <w:r w:rsidR="005279F0">
        <w:fldChar w:fldCharType="begin"/>
      </w:r>
      <w:r w:rsidR="005A3752">
        <w:instrText xml:space="preserve"> ADDIN ZOTERO_ITEM CSL_CITATION {"citationID":"99Rr16lx","properties":{"formattedCitation":"\\super 7,8\\nosupersub{}","plainCitation":"7,8","noteIndex":0},"citationItems":[{"id":901,"uris":["http://zotero.org/users/16023988/items/T57B7UKD"],"itemData":{"id":901,"type":"article-journal","abstract":"This study aimed to analyze the incidence of complications resulting from the use of an indwelling arterial catheter (IAC). We compared the characteristics of the patients with an IAC who developed complications with those who did not present any complications. The study included 1,869 patients with an IAC hospitalized in intensive care units (ICUs) between 2017 and 2018. Most patients were male (58.7%), in the seventh decade of life, and had systemic arterial hypertension. The most common site of IAC implantation was the radial artery. Fifty-four (2.88%) cases of complications related to an IAC were identified including bleeding, hematomas, and thrombosis. Female patients had a higher risk of complications (P = .030). Comorbidities such as arrhythmias (P &lt; .001) and peripheral arterial disease (P = .041) also increased that risk. The use of vasoactive drugs (P = .001), hemodialysis (P = .001), and orotracheal intubation (OTI) (P = .001) was significantly associated with the occurrence of complications as well as length of stay in ICUs (P &lt; .001) and IAC duration (P = .001). IACs are safe devices commonly used in ICUs, with an incidence of complications of 2.88%.","container-title":"Angiology","DOI":"10.1177/00033197211052127","ISSN":"1940-1574","issue":"5","journalAbbreviation":"Angiology","language":"eng","note":"PMID: 34753344","page":"431-437","source":"PubMed","title":"Retrospective Observational Single-Center Study of Complications of Arterial Indwelling Catheters for Invasive Blood Pressure in Intensive Care Unit Patients","volume":"73","author":[{"family":"Baptistella","given":"Conrado Dias Pacheco Annicchino"},{"family":"Mendes","given":"Cynthia de Almeida"},{"family":"Silva","given":"Marcela Juliano"},{"family":"Wolosker","given":"Nelson"}],"issued":{"date-parts":[["2022",5]]}}},{"id":898,"uris":["http://zotero.org/users/16023988/items/GPLEXBM6"],"itemData":{"id":898,"type":"article-journal","abstract":"In order to evaluate the complications and risk factors associated with peripheral arterial catheters used for haemodynamic monitoring, we reviewed the literature published from 1978 to 2001. We closely examined the three most commonly used arterial cannulation sites. The reviewed papers included a total of 19,617 radial, 3899 femoral and 1989 axillary artery catheterizations. Factors that contribute to higher complication rates were investigated. Major complications occurred in fewer than 1% of the cases, and rates were similar for the radial, femoral and axillary arteries. We conclude that arterial cannulation is a safe procedure.","container-title":"Critical Care (London, England)","DOI":"10.1186/cc1489","ISSN":"1364-8535","issue":"3","journalAbbreviation":"Crit Care","language":"eng","note":"PMID: 12133178\nPMCID: PMC137445","page":"199-204","source":"PubMed","title":"Clinical review: complications and risk factors of peripheral arterial catheters used for haemodynamic monitoring in anaesthesia and intensive care medicine","title-short":"Clinical review","volume":"6","author":[{"family":"Scheer","given":"Bernd"},{"family":"Perel","given":"Azriel"},{"family":"Pfeiffer","given":"Ulrich J."}],"issued":{"date-parts":[["2002",6]]}}}],"schema":"https://github.com/citation-style-language/schema/raw/master/csl-citation.json"} </w:instrText>
      </w:r>
      <w:r w:rsidR="005279F0">
        <w:fldChar w:fldCharType="separate"/>
      </w:r>
      <w:r w:rsidR="005A3752" w:rsidRPr="005A3752">
        <w:rPr>
          <w:rFonts w:ascii="Aptos" w:cs="Times New Roman"/>
          <w:kern w:val="0"/>
          <w:vertAlign w:val="superscript"/>
        </w:rPr>
        <w:t>7,8</w:t>
      </w:r>
      <w:r w:rsidR="005279F0">
        <w:fldChar w:fldCharType="end"/>
      </w:r>
      <w:r w:rsidR="002C7987">
        <w:t xml:space="preserve"> </w:t>
      </w:r>
      <w:r w:rsidR="00014CD5">
        <w:t>Such issues limit the role of ABG</w:t>
      </w:r>
      <w:r w:rsidR="00C36867">
        <w:t>s</w:t>
      </w:r>
      <w:r w:rsidR="00014CD5">
        <w:t xml:space="preserve"> in routine monitoring and screening for hypercapnia. </w:t>
      </w:r>
      <w:commentRangeStart w:id="2"/>
      <w:r w:rsidR="005F184A">
        <w:t>T</w:t>
      </w:r>
      <w:r w:rsidR="00F14FA7">
        <w:t>ranscutaneous</w:t>
      </w:r>
      <w:commentRangeEnd w:id="2"/>
      <w:r w:rsidR="009507B7">
        <w:rPr>
          <w:rStyle w:val="CommentReference"/>
          <w:sz w:val="24"/>
          <w:szCs w:val="24"/>
        </w:rPr>
        <w:commentReference w:id="2"/>
      </w:r>
      <w:r w:rsidR="00F14FA7">
        <w:t xml:space="preserve"> CO</w:t>
      </w:r>
      <w:r w:rsidR="00243FAA" w:rsidRPr="008477EE">
        <w:rPr>
          <w:vertAlign w:val="subscript"/>
        </w:rPr>
        <w:t>2</w:t>
      </w:r>
      <w:r w:rsidR="00F14FA7">
        <w:t xml:space="preserve"> monitoring (TcCO</w:t>
      </w:r>
      <w:r w:rsidR="00243FAA" w:rsidRPr="008477EE">
        <w:rPr>
          <w:vertAlign w:val="subscript"/>
        </w:rPr>
        <w:t>2</w:t>
      </w:r>
      <w:r w:rsidR="00F14FA7">
        <w:t xml:space="preserve">) </w:t>
      </w:r>
      <w:r w:rsidR="005F184A">
        <w:t>offers a potential alternative</w:t>
      </w:r>
      <w:r w:rsidR="00E73970">
        <w:t xml:space="preserve"> unmarred by </w:t>
      </w:r>
      <w:r w:rsidR="005F184A">
        <w:t>such issues</w:t>
      </w:r>
      <w:r w:rsidR="00E23BC7">
        <w:t xml:space="preserve">, </w:t>
      </w:r>
      <w:r w:rsidR="005F184A">
        <w:t xml:space="preserve">though its adoption has been limited by </w:t>
      </w:r>
      <w:r w:rsidR="002C7987" w:rsidRPr="002C7987">
        <w:t>concerns that its ability to detect hypercapnia may be insufficient to warrant widespread clinic</w:t>
      </w:r>
      <w:r w:rsidR="00014CD5">
        <w:t>al</w:t>
      </w:r>
      <w:r w:rsidR="002C7987" w:rsidRPr="002C7987">
        <w:t xml:space="preserve"> </w:t>
      </w:r>
      <w:commentRangeStart w:id="3"/>
      <w:r w:rsidR="002C7987" w:rsidRPr="002C7987">
        <w:t>implementation</w:t>
      </w:r>
      <w:r w:rsidR="00014CD5">
        <w:t xml:space="preserve"> and financial reimbursement</w:t>
      </w:r>
      <w:r w:rsidR="005F184A" w:rsidRPr="002C7987">
        <w:t>.</w:t>
      </w:r>
      <w:commentRangeEnd w:id="3"/>
      <w:r w:rsidR="009507B7">
        <w:rPr>
          <w:rStyle w:val="CommentReference"/>
          <w:sz w:val="24"/>
          <w:szCs w:val="24"/>
        </w:rPr>
        <w:commentReference w:id="3"/>
      </w:r>
      <w:r w:rsidR="002C7987">
        <w:fldChar w:fldCharType="begin"/>
      </w:r>
      <w:r w:rsidR="005A3752">
        <w:instrText xml:space="preserve"> ADDIN ZOTERO_ITEM CSL_CITATION {"citationID":"pxyUJ8U5","properties":{"formattedCitation":"\\super 9,10\\nosupersub{}","plainCitation":"9,10","noteIndex":0},"citationItems":[{"id":905,"uris":["http://zotero.org/users/16023988/items/7PSFFXST"],"itemData":{"id":905,"type":"article-journal","abstract":"BACKGROUND: Transcutaneous carbon dioxide (Ptcco2) measurement is a non-invasive surrogate marker for arterial carbon dioxide (Paco2), which requires invasive arterial blood sampling. Use of Ptcco2 has been examined in different clinical settings, however, most existing evidence in the adult emergency department (ED) setting shows insufficient agreement between the measurements. This study assessed the level of agreement between Ptcco2 and Paco2 in undifferentiated adult ED patients across multiple timepoints.\nMETHODS: This prospective observational study (study period 2020-2021) assessed paired Ptcco2 and Paco2 measurements at four consecutive timepoints (0, 30, 60 and 90</w:instrText>
      </w:r>
      <w:r w:rsidR="005A3752">
        <w:rPr>
          <w:rFonts w:ascii="Arial" w:hAnsi="Arial" w:cs="Arial"/>
        </w:rPr>
        <w:instrText> </w:instrText>
      </w:r>
      <w:r w:rsidR="005A3752">
        <w:instrText>min) in adult (aged 18 years or over) Australian ED patients requiring hospital admission and arterial catheter insertion. Agreement between the pairs was assessed using Bland-Altman analysis. It was prospectively determined by expert consensus that limits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would be a clinically acceptable level of agreement between Ptcco2 and Paco2.\nRESULTS: During the study period 168 paired Ptcco2 and Paco2 readings were taken from 42 adult ED patients. Bland-Altman analysis showed a mean Ptcco2 reading 3.85</w:instrText>
      </w:r>
      <w:r w:rsidR="005A3752">
        <w:rPr>
          <w:rFonts w:ascii="Arial" w:hAnsi="Arial" w:cs="Arial"/>
        </w:rPr>
        <w:instrText> </w:instrText>
      </w:r>
      <w:r w:rsidR="005A3752">
        <w:instrText>mm</w:instrText>
      </w:r>
      <w:r w:rsidR="005A3752">
        <w:rPr>
          <w:rFonts w:ascii="Arial" w:hAnsi="Arial" w:cs="Arial"/>
        </w:rPr>
        <w:instrText> </w:instrText>
      </w:r>
      <w:r w:rsidR="005A3752">
        <w:instrText>Hg higher than Paco2, although at each timepoint the 95% CIs breached the limit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difference. In addition, only 66% (111/168) of results fell within the clinically acceptable range.\nCONCLUSION: The level of agreement between Ptcco2 and Paco2 measurements may not be sufficiently precise for the adoption of Ptcco2 monitoring in patients presenting to the ED.","container-title":"Emergency medicine journal: EMJ","DOI":"10.1136/emermed-2022-212465","ISSN":"1472-0213","issue":"9","journalAbbreviation":"Emerg Med J","language":"eng","note":"PMID: 37479485","page":"646-650","source":"PubMed","title":"Prospective, observational study investigating the level of agreement between transcutaneous and invasive carbon dioxide measurements in critically ill emergency department patients","volume":"40","author":[{"family":"Farenden","given":"Scott"},{"family":"Chung","given":"Yewon"},{"family":"Cui","given":"Amy"},{"family":"Ferguson","given":"Ian"}],"issued":{"date-parts":[["2023",9]]}}},{"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5A3752">
        <w:rPr>
          <w:rFonts w:ascii="Arial" w:hAnsi="Arial" w:cs="Arial"/>
        </w:rPr>
        <w:instrText> </w:instrText>
      </w:r>
      <w:r w:rsidR="005A3752">
        <w:instrText>mm Hg and the population limits of agreement were -15 to 15</w:instrText>
      </w:r>
      <w:r w:rsidR="005A3752">
        <w:rPr>
          <w:rFonts w:ascii="Arial" w:hAnsi="Arial" w:cs="Arial"/>
        </w:rPr>
        <w:instrText> </w:instrText>
      </w:r>
      <w:r w:rsidR="005A3752">
        <w:instrText>mm Hg for 7021 paired measurements taken from 2817 participants in 73 studies, which was outside of the clinically acceptable range (7.5</w:instrText>
      </w:r>
      <w:r w:rsidR="005A3752">
        <w:rPr>
          <w:rFonts w:ascii="Arial" w:hAnsi="Arial" w:cs="Arial"/>
        </w:rPr>
        <w:instrText> </w:instrText>
      </w:r>
      <w:r w:rsidR="005A3752">
        <w:instrText>mm Hg). The lowest PaCO2 reported in the studies was 18</w:instrText>
      </w:r>
      <w:r w:rsidR="005A3752">
        <w:rPr>
          <w:rFonts w:ascii="Arial" w:hAnsi="Arial" w:cs="Arial"/>
        </w:rPr>
        <w:instrText> </w:instrText>
      </w:r>
      <w:r w:rsidR="005A3752">
        <w:instrText>mm Hg and the highest was 103</w:instrText>
      </w:r>
      <w:r w:rsidR="005A3752">
        <w:rPr>
          <w:rFonts w:ascii="Arial" w:hAnsi="Arial" w:cs="Arial"/>
        </w:rPr>
        <w:instrText> </w:instrText>
      </w:r>
      <w:r w:rsidR="005A3752">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5A3752">
        <w:rPr>
          <w:rFonts w:ascii="Arial" w:hAnsi="Arial" w:cs="Arial"/>
        </w:rPr>
        <w:instrText> </w:instrText>
      </w:r>
      <w:r w:rsidR="005A3752">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2C7987">
        <w:fldChar w:fldCharType="separate"/>
      </w:r>
      <w:r w:rsidR="005A3752" w:rsidRPr="005A3752">
        <w:rPr>
          <w:rFonts w:ascii="Aptos" w:cs="Times New Roman"/>
          <w:kern w:val="0"/>
          <w:vertAlign w:val="superscript"/>
        </w:rPr>
        <w:t>9,10</w:t>
      </w:r>
      <w:r w:rsidR="002C7987">
        <w:fldChar w:fldCharType="end"/>
      </w:r>
      <w:r w:rsidR="005F184A">
        <w:t xml:space="preserve"> In the present simulation we aim to e</w:t>
      </w:r>
      <w:r w:rsidR="00C54C7F">
        <w:t>stimate</w:t>
      </w:r>
      <w:r w:rsidR="005F184A">
        <w:t xml:space="preserve"> the </w:t>
      </w:r>
      <w:r w:rsidR="00C54C7F">
        <w:t xml:space="preserve">theoretical </w:t>
      </w:r>
      <w:r w:rsidR="005F184A">
        <w:t>accuracy of TcCO</w:t>
      </w:r>
      <w:r w:rsidR="00243FAA" w:rsidRPr="008477EE">
        <w:rPr>
          <w:vertAlign w:val="subscript"/>
        </w:rPr>
        <w:t>2</w:t>
      </w:r>
      <w:r w:rsidR="005F184A">
        <w:t xml:space="preserve"> </w:t>
      </w:r>
      <w:r w:rsidR="008D49B9">
        <w:t>in detection of hypercapnia by applying reported agreement between TcCO2 and PaCO2 to a large dataset of arterial samples.</w:t>
      </w:r>
    </w:p>
    <w:p w14:paraId="5582CD98" w14:textId="77777777" w:rsidR="00F14FA7" w:rsidRDefault="00F14FA7" w:rsidP="00F14FA7"/>
    <w:p w14:paraId="1616296C" w14:textId="77777777" w:rsidR="00F14FA7" w:rsidRPr="00F70102" w:rsidRDefault="00F14FA7" w:rsidP="00F14FA7">
      <w:pPr>
        <w:rPr>
          <w:b/>
          <w:bCs/>
        </w:rPr>
      </w:pPr>
      <w:r w:rsidRPr="00F70102">
        <w:rPr>
          <w:b/>
          <w:bCs/>
        </w:rPr>
        <w:t xml:space="preserve">Methods: </w:t>
      </w:r>
    </w:p>
    <w:p w14:paraId="12CE1942" w14:textId="5D395E2A" w:rsidR="00FA0A6B" w:rsidRDefault="00F14FA7" w:rsidP="00FA0A6B">
      <w:pPr>
        <w:ind w:firstLine="720"/>
      </w:pPr>
      <w:commentRangeStart w:id="4"/>
      <w:r>
        <w:t xml:space="preserve">The TriNetX </w:t>
      </w:r>
      <w:r w:rsidR="00F923BF">
        <w:t xml:space="preserve">network </w:t>
      </w:r>
      <w:r w:rsidRPr="00F923BF">
        <w:t>database</w:t>
      </w:r>
      <w:r w:rsidR="00A478B3" w:rsidRPr="00F923BF">
        <w:t xml:space="preserve"> </w:t>
      </w:r>
      <w:commentRangeEnd w:id="4"/>
      <w:r w:rsidR="00D0284B" w:rsidRPr="00F923BF">
        <w:rPr>
          <w:rStyle w:val="CommentReference"/>
          <w:sz w:val="24"/>
          <w:szCs w:val="24"/>
        </w:rPr>
        <w:commentReference w:id="4"/>
      </w:r>
      <w:r w:rsidR="00A478B3" w:rsidRPr="00F923BF">
        <w:t>(</w:t>
      </w:r>
      <w:r w:rsidR="00F923BF" w:rsidRPr="00F923BF">
        <w:t>which provided access to electronic medical records (diagnoses, procedures, medications, laboratory values, genomic information) from approximately 115 million patients from 75 healthcare organizations</w:t>
      </w:r>
      <w:r w:rsidR="00A478B3" w:rsidRPr="00F923BF">
        <w:t>)</w:t>
      </w:r>
      <w:r>
        <w:t xml:space="preserve"> was accessed </w:t>
      </w:r>
      <w:r w:rsidR="00F923BF">
        <w:t xml:space="preserve">on 06/02/2023 </w:t>
      </w:r>
      <w:r>
        <w:t>for all encounters in which a</w:t>
      </w:r>
      <w:r w:rsidR="00E23BC7">
        <w:t>n arterial CO2</w:t>
      </w:r>
      <w:r>
        <w:t xml:space="preserve"> </w:t>
      </w:r>
      <w:r w:rsidR="00E23BC7">
        <w:t>(</w:t>
      </w:r>
      <w:r>
        <w:t>PaCO</w:t>
      </w:r>
      <w:r w:rsidR="00243FAA" w:rsidRPr="008477EE">
        <w:rPr>
          <w:vertAlign w:val="subscript"/>
        </w:rPr>
        <w:t>2</w:t>
      </w:r>
      <w:r w:rsidR="00E23BC7">
        <w:t>)</w:t>
      </w:r>
      <w:r>
        <w:t xml:space="preserve"> was obtained</w:t>
      </w:r>
      <w:r w:rsidR="0035452F">
        <w:t xml:space="preserve"> in order to obtain a real-word population of </w:t>
      </w:r>
      <w:r w:rsidR="00213BBD">
        <w:t>PaCO</w:t>
      </w:r>
      <w:r w:rsidR="00213BBD" w:rsidRPr="008477EE">
        <w:rPr>
          <w:vertAlign w:val="subscript"/>
        </w:rPr>
        <w:t>2</w:t>
      </w:r>
      <w:r w:rsidR="0035452F">
        <w:t xml:space="preserve"> values</w:t>
      </w:r>
      <w:r>
        <w:t xml:space="preserve">. </w:t>
      </w:r>
      <w:r w:rsidR="00BE7FE6">
        <w:t xml:space="preserve">Only the first PaCO2 used for </w:t>
      </w:r>
      <w:r w:rsidR="00A23090">
        <w:t xml:space="preserve">the first calendar day of </w:t>
      </w:r>
      <w:r w:rsidR="00BE7FE6">
        <w:t xml:space="preserve">each admission was used. </w:t>
      </w:r>
      <w:r w:rsidR="00FA0A6B">
        <w:t>Data were subdivided into location of sampling including the A</w:t>
      </w:r>
      <w:commentRangeStart w:id="5"/>
      <w:commentRangeStart w:id="6"/>
      <w:r w:rsidR="00FA0A6B">
        <w:t>mbulatory setting</w:t>
      </w:r>
      <w:commentRangeEnd w:id="5"/>
      <w:r w:rsidR="00FA0A6B">
        <w:rPr>
          <w:rStyle w:val="CommentReference"/>
          <w:sz w:val="24"/>
          <w:szCs w:val="24"/>
        </w:rPr>
        <w:commentReference w:id="5"/>
      </w:r>
      <w:commentRangeEnd w:id="6"/>
      <w:r w:rsidR="00D0284B">
        <w:rPr>
          <w:rStyle w:val="CommentReference"/>
          <w:sz w:val="24"/>
          <w:szCs w:val="24"/>
        </w:rPr>
        <w:commentReference w:id="6"/>
      </w:r>
      <w:r w:rsidR="009E2F84">
        <w:t xml:space="preserve"> (Amb)</w:t>
      </w:r>
      <w:r w:rsidR="00FA0A6B">
        <w:t>, Emergency Department and Inpatient Wards (ED/Inp), and Intensive Care Unit (ICU).</w:t>
      </w:r>
    </w:p>
    <w:p w14:paraId="4167AB44" w14:textId="619463DE" w:rsidR="00FA0A6B" w:rsidRPr="009E2F84" w:rsidRDefault="00213BBD" w:rsidP="007A67AF">
      <w:r>
        <w:tab/>
      </w:r>
      <w:r w:rsidR="0081015A">
        <w:t>Data</w:t>
      </w:r>
      <w:r w:rsidR="00ED24E4">
        <w:t xml:space="preserve"> from a meta-analysis by Conway et al</w:t>
      </w:r>
      <w:r w:rsidR="00ED24E4">
        <w:fldChar w:fldCharType="begin"/>
      </w:r>
      <w:r w:rsidR="00ED24E4">
        <w:instrText xml:space="preserve"> ADDIN ZOTERO_ITEM CSL_CITATION {"citationID":"2YMHDYit","properties":{"formattedCitation":"\\super 10\\nosupersub{}","plainCitation":"10","noteIndex":0},"citationItems":[{"id":903,"uris":["http://zotero.org/users/16023988/items/9LHSEZXG"],"itemData":{"id":903,"type":"article-journal","abstract":"BACKGROUND: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ED24E4">
        <w:rPr>
          <w:rFonts w:ascii="Arial" w:hAnsi="Arial" w:cs="Arial"/>
        </w:rPr>
        <w:instrText> </w:instrText>
      </w:r>
      <w:r w:rsidR="00ED24E4">
        <w:instrText>mm Hg and the population limits of agreement were -15 to 15</w:instrText>
      </w:r>
      <w:r w:rsidR="00ED24E4">
        <w:rPr>
          <w:rFonts w:ascii="Arial" w:hAnsi="Arial" w:cs="Arial"/>
        </w:rPr>
        <w:instrText> </w:instrText>
      </w:r>
      <w:r w:rsidR="00ED24E4">
        <w:instrText>mm Hg for 7021 paired measurements taken from 2817 participants in 73 studies, which was outside of the clinically acceptable range (7.5</w:instrText>
      </w:r>
      <w:r w:rsidR="00ED24E4">
        <w:rPr>
          <w:rFonts w:ascii="Arial" w:hAnsi="Arial" w:cs="Arial"/>
        </w:rPr>
        <w:instrText> </w:instrText>
      </w:r>
      <w:r w:rsidR="00ED24E4">
        <w:instrText>mm Hg). The lowest PaCO2 reported in the studies was 18</w:instrText>
      </w:r>
      <w:r w:rsidR="00ED24E4">
        <w:rPr>
          <w:rFonts w:ascii="Arial" w:hAnsi="Arial" w:cs="Arial"/>
        </w:rPr>
        <w:instrText> </w:instrText>
      </w:r>
      <w:r w:rsidR="00ED24E4">
        <w:instrText>mm Hg and the highest was 103</w:instrText>
      </w:r>
      <w:r w:rsidR="00ED24E4">
        <w:rPr>
          <w:rFonts w:ascii="Arial" w:hAnsi="Arial" w:cs="Arial"/>
        </w:rPr>
        <w:instrText> </w:instrText>
      </w:r>
      <w:r w:rsidR="00ED24E4">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ED24E4">
        <w:rPr>
          <w:rFonts w:ascii="Arial" w:hAnsi="Arial" w:cs="Arial"/>
        </w:rPr>
        <w:instrText> </w:instrText>
      </w:r>
      <w:r w:rsidR="00ED24E4">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ED24E4">
        <w:fldChar w:fldCharType="separate"/>
      </w:r>
      <w:r w:rsidR="00ED24E4" w:rsidRPr="005A3752">
        <w:rPr>
          <w:rFonts w:ascii="Aptos" w:cs="Times New Roman"/>
          <w:kern w:val="0"/>
          <w:vertAlign w:val="superscript"/>
        </w:rPr>
        <w:t>10</w:t>
      </w:r>
      <w:r w:rsidR="00ED24E4">
        <w:fldChar w:fldCharType="end"/>
      </w:r>
      <w:r w:rsidR="00ED24E4">
        <w:t xml:space="preserve"> </w:t>
      </w:r>
      <w:r w:rsidR="00CB16DC">
        <w:t xml:space="preserve">were accessed to obtain </w:t>
      </w:r>
      <w:r w:rsidR="00ED24E4">
        <w:t>mean PaCO</w:t>
      </w:r>
      <w:r w:rsidR="00ED24E4" w:rsidRPr="008477EE">
        <w:rPr>
          <w:vertAlign w:val="subscript"/>
        </w:rPr>
        <w:t>2</w:t>
      </w:r>
      <w:r w:rsidR="002C31C4">
        <w:t>-</w:t>
      </w:r>
      <w:r w:rsidR="00ED24E4">
        <w:t>TcCO</w:t>
      </w:r>
      <w:r w:rsidR="00ED24E4" w:rsidRPr="008477EE">
        <w:rPr>
          <w:vertAlign w:val="subscript"/>
        </w:rPr>
        <w:t>2</w:t>
      </w:r>
      <w:r w:rsidR="00ED24E4">
        <w:t xml:space="preserve"> bias and uncertainty (within- and inter-population disagreement)</w:t>
      </w:r>
      <w:r w:rsidR="00CB16DC">
        <w:t xml:space="preserve">. </w:t>
      </w:r>
      <w:r w:rsidR="009E2F84">
        <w:t>While Conway et al explicitly reported location-specific values for subgroups of ICU and ED/Inp populations, there was not a subgroup of ‘ambulatory’ patients. They did, however, report a ‘Pulmonary Function Test unit (PFT)’ from which we assumed a great enough degree of similarity to our Amb</w:t>
      </w:r>
      <w:r w:rsidR="0066140C">
        <w:t xml:space="preserve">ulatory </w:t>
      </w:r>
      <w:r w:rsidR="009E2F84">
        <w:t>group to justify valid application</w:t>
      </w:r>
      <w:r w:rsidR="00BA1344">
        <w:t xml:space="preserve"> (ie </w:t>
      </w:r>
      <w:r w:rsidR="008A72E6">
        <w:t xml:space="preserve">that </w:t>
      </w:r>
      <w:r w:rsidR="00BA1344">
        <w:t>most ambulatory PaCO2 values in the TriNetX database were either done in the PFT unit or were similar enough to maintain validity)</w:t>
      </w:r>
      <w:r w:rsidR="009E2F84">
        <w:t xml:space="preserve">. </w:t>
      </w:r>
    </w:p>
    <w:p w14:paraId="627146CE" w14:textId="180917D8" w:rsidR="00C40604" w:rsidRDefault="0035452F" w:rsidP="00C2033F">
      <w:pPr>
        <w:ind w:firstLine="720"/>
      </w:pPr>
      <w:r>
        <w:t>A simulated TcCO</w:t>
      </w:r>
      <w:r w:rsidR="00500E43" w:rsidRPr="008477EE">
        <w:rPr>
          <w:vertAlign w:val="subscript"/>
        </w:rPr>
        <w:t>2</w:t>
      </w:r>
      <w:r>
        <w:t xml:space="preserve"> was then created for each</w:t>
      </w:r>
      <w:r w:rsidR="007A67AF">
        <w:t xml:space="preserve"> </w:t>
      </w:r>
      <w:r w:rsidR="00B671F9">
        <w:t xml:space="preserve">TriNetX </w:t>
      </w:r>
      <w:r w:rsidR="004B361D">
        <w:t>PaCO</w:t>
      </w:r>
      <w:r w:rsidR="004B361D" w:rsidRPr="008477EE">
        <w:rPr>
          <w:vertAlign w:val="subscript"/>
        </w:rPr>
        <w:t>2</w:t>
      </w:r>
      <w:r w:rsidR="00682FF1">
        <w:t xml:space="preserve"> using </w:t>
      </w:r>
      <w:r w:rsidR="00E460F2">
        <w:t xml:space="preserve">the </w:t>
      </w:r>
      <w:r w:rsidR="00682FF1">
        <w:t>setting-specific models</w:t>
      </w:r>
      <w:r w:rsidR="00E460F2">
        <w:t xml:space="preserve"> derived from the data from Conway et al</w:t>
      </w:r>
      <w:r w:rsidR="00682FF1">
        <w:t>.</w:t>
      </w:r>
      <w:r w:rsidR="00C2033F">
        <w:t xml:space="preserve"> </w:t>
      </w:r>
      <w:r w:rsidR="0073487C">
        <w:t>Each simulated TcCO</w:t>
      </w:r>
      <w:r w:rsidR="00243FAA" w:rsidRPr="008477EE">
        <w:rPr>
          <w:vertAlign w:val="subscript"/>
        </w:rPr>
        <w:t>2</w:t>
      </w:r>
      <w:r w:rsidR="0073487C">
        <w:t xml:space="preserve"> was</w:t>
      </w:r>
      <w:r w:rsidR="001410C1">
        <w:t xml:space="preserve"> </w:t>
      </w:r>
      <w:r w:rsidR="00F14FA7">
        <w:t xml:space="preserve">classified as </w:t>
      </w:r>
      <w:r w:rsidR="00083A16">
        <w:t>T</w:t>
      </w:r>
      <w:r w:rsidR="00F14FA7">
        <w:t>rue</w:t>
      </w:r>
      <w:r w:rsidR="005F5A31">
        <w:t xml:space="preserve"> or </w:t>
      </w:r>
      <w:r w:rsidR="00083A16">
        <w:t>F</w:t>
      </w:r>
      <w:r w:rsidR="005F5A31">
        <w:t>alse</w:t>
      </w:r>
      <w:r w:rsidR="001774F4">
        <w:t xml:space="preserve"> and</w:t>
      </w:r>
      <w:r w:rsidR="00F14FA7">
        <w:t xml:space="preserve"> </w:t>
      </w:r>
      <w:r w:rsidR="00083A16">
        <w:t>N</w:t>
      </w:r>
      <w:r w:rsidR="00F14FA7">
        <w:t>egative</w:t>
      </w:r>
      <w:r w:rsidR="005F5A31">
        <w:t xml:space="preserve"> or </w:t>
      </w:r>
      <w:r w:rsidR="00083A16">
        <w:t>P</w:t>
      </w:r>
      <w:r w:rsidR="005F5A31">
        <w:t xml:space="preserve">ositive by comparing </w:t>
      </w:r>
      <w:r w:rsidR="00197A74">
        <w:t xml:space="preserve">the </w:t>
      </w:r>
      <w:r w:rsidR="00C53AFA">
        <w:t xml:space="preserve">presence of </w:t>
      </w:r>
      <w:r w:rsidR="00F821A2">
        <w:t>arterial</w:t>
      </w:r>
      <w:r w:rsidR="005F5A31">
        <w:t xml:space="preserve"> hypercarbi</w:t>
      </w:r>
      <w:r w:rsidR="00C53AFA">
        <w:t>a</w:t>
      </w:r>
      <w:r w:rsidR="005F5A31">
        <w:t xml:space="preserve"> (</w:t>
      </w:r>
      <w:r w:rsidR="002E7C50">
        <w:t>PaCO</w:t>
      </w:r>
      <w:r w:rsidR="002E7C50" w:rsidRPr="008477EE">
        <w:rPr>
          <w:vertAlign w:val="subscript"/>
        </w:rPr>
        <w:t>2</w:t>
      </w:r>
      <w:r w:rsidR="00F821A2">
        <w:t xml:space="preserve"> </w:t>
      </w:r>
      <w:r w:rsidR="005F5A31">
        <w:t>≥45</w:t>
      </w:r>
      <w:r w:rsidR="009520C0">
        <w:t>mmHg</w:t>
      </w:r>
      <w:r w:rsidR="005F5A31">
        <w:t xml:space="preserve">) to </w:t>
      </w:r>
      <w:r w:rsidR="00F821A2">
        <w:t xml:space="preserve">that of </w:t>
      </w:r>
      <w:r w:rsidR="005F5A31">
        <w:t>TcCO</w:t>
      </w:r>
      <w:r w:rsidR="00243FAA" w:rsidRPr="008477EE">
        <w:rPr>
          <w:vertAlign w:val="subscript"/>
        </w:rPr>
        <w:t>2</w:t>
      </w:r>
      <w:r w:rsidR="005F5A31">
        <w:t xml:space="preserve"> under two different </w:t>
      </w:r>
      <w:r w:rsidR="00D00F74">
        <w:t>definitions</w:t>
      </w:r>
      <w:r w:rsidR="00445E70">
        <w:t xml:space="preserve">. The first </w:t>
      </w:r>
      <w:r w:rsidR="001449F5">
        <w:t>classification scheme</w:t>
      </w:r>
      <w:r w:rsidR="00445E70">
        <w:t xml:space="preserve"> used </w:t>
      </w:r>
      <w:r w:rsidR="005F5A31">
        <w:t>a strict TcCO</w:t>
      </w:r>
      <w:r w:rsidR="00243FAA" w:rsidRPr="008477EE">
        <w:rPr>
          <w:vertAlign w:val="subscript"/>
        </w:rPr>
        <w:t>2</w:t>
      </w:r>
      <w:r w:rsidR="005F5A31">
        <w:t xml:space="preserve"> hypercarbia threshold of ≥45</w:t>
      </w:r>
      <w:r w:rsidR="0090468C">
        <w:t>mmHg</w:t>
      </w:r>
      <w:r w:rsidR="00445E70">
        <w:t xml:space="preserve">. The second </w:t>
      </w:r>
      <w:r w:rsidR="001803C7">
        <w:t>classification system</w:t>
      </w:r>
      <w:r w:rsidR="00445E70">
        <w:t xml:space="preserve"> applied more </w:t>
      </w:r>
      <w:r w:rsidR="005F5A31">
        <w:t xml:space="preserve">extreme </w:t>
      </w:r>
      <w:r w:rsidR="001F0F93">
        <w:t>boundaries</w:t>
      </w:r>
      <w:r w:rsidR="005F5A31">
        <w:t xml:space="preserve"> of </w:t>
      </w:r>
      <w:r w:rsidR="001803C7">
        <w:t>classification of TcCO</w:t>
      </w:r>
      <w:r w:rsidR="001803C7" w:rsidRPr="008477EE">
        <w:rPr>
          <w:vertAlign w:val="subscript"/>
        </w:rPr>
        <w:t>2</w:t>
      </w:r>
      <w:r w:rsidR="001803C7">
        <w:t xml:space="preserve"> (</w:t>
      </w:r>
      <w:r w:rsidR="005F5A31">
        <w:t>normal</w:t>
      </w:r>
      <w:r w:rsidR="001803C7">
        <w:t xml:space="preserve">: </w:t>
      </w:r>
      <w:r w:rsidR="005F5A31">
        <w:t>&lt;40</w:t>
      </w:r>
      <w:r w:rsidR="001F0F93">
        <w:t>mmH</w:t>
      </w:r>
      <w:r w:rsidR="001803C7">
        <w:t>;</w:t>
      </w:r>
      <w:r w:rsidR="005F5A31">
        <w:t xml:space="preserve"> </w:t>
      </w:r>
      <w:r w:rsidR="00750391">
        <w:t>hypercarbia</w:t>
      </w:r>
      <w:r w:rsidR="005F5A31">
        <w:t xml:space="preserve"> ≥50</w:t>
      </w:r>
      <w:r w:rsidR="001F0F93">
        <w:t>mmHg)</w:t>
      </w:r>
      <w:r w:rsidR="005F5A31">
        <w:t xml:space="preserve"> in order to separately evaluate test characteristics for </w:t>
      </w:r>
      <w:r w:rsidR="00902EE5">
        <w:t xml:space="preserve">only </w:t>
      </w:r>
      <w:r w:rsidR="008D43EB">
        <w:t xml:space="preserve">those </w:t>
      </w:r>
      <w:r w:rsidR="00C3560F">
        <w:t>TcCO</w:t>
      </w:r>
      <w:r w:rsidR="00C3560F" w:rsidRPr="008477EE">
        <w:rPr>
          <w:vertAlign w:val="subscript"/>
        </w:rPr>
        <w:t>2</w:t>
      </w:r>
      <w:r w:rsidR="006A6F2E">
        <w:t xml:space="preserve"> values</w:t>
      </w:r>
      <w:r w:rsidR="008D43EB">
        <w:t xml:space="preserve"> that are</w:t>
      </w:r>
      <w:r w:rsidR="006A6F2E">
        <w:t xml:space="preserve"> further from borderline classification</w:t>
      </w:r>
      <w:r w:rsidR="005F5A31">
        <w:t xml:space="preserve">. </w:t>
      </w:r>
      <w:r w:rsidR="00C40604">
        <w:t>TcCO</w:t>
      </w:r>
      <w:r w:rsidR="00C40604" w:rsidRPr="008477EE">
        <w:rPr>
          <w:vertAlign w:val="subscript"/>
        </w:rPr>
        <w:t>2</w:t>
      </w:r>
      <w:r w:rsidR="00C40604">
        <w:t>-PaCO</w:t>
      </w:r>
      <w:r w:rsidR="00C40604" w:rsidRPr="008477EE">
        <w:rPr>
          <w:vertAlign w:val="subscript"/>
        </w:rPr>
        <w:t>2</w:t>
      </w:r>
      <w:r w:rsidR="00C40604">
        <w:t xml:space="preserve"> agreement w</w:t>
      </w:r>
      <w:r w:rsidR="00436231">
        <w:t>as then</w:t>
      </w:r>
      <w:r w:rsidR="00C40604">
        <w:t xml:space="preserve"> used to estimate </w:t>
      </w:r>
      <w:r w:rsidR="005B2CF0">
        <w:t>S</w:t>
      </w:r>
      <w:r w:rsidR="00C40604">
        <w:t xml:space="preserve">ensitivity (Se), </w:t>
      </w:r>
      <w:r w:rsidR="005B2CF0">
        <w:t>S</w:t>
      </w:r>
      <w:r w:rsidR="00C40604">
        <w:t xml:space="preserve">pecificity (Sp), and </w:t>
      </w:r>
      <w:r w:rsidR="005B2CF0">
        <w:t>N</w:t>
      </w:r>
      <w:r w:rsidR="00A71229">
        <w:t xml:space="preserve">egative and </w:t>
      </w:r>
      <w:r w:rsidR="005B2CF0">
        <w:t>P</w:t>
      </w:r>
      <w:r w:rsidR="00A71229">
        <w:t xml:space="preserve">ositive </w:t>
      </w:r>
      <w:r w:rsidR="005B2CF0">
        <w:t>P</w:t>
      </w:r>
      <w:r w:rsidR="00C40604">
        <w:t xml:space="preserve">redictive </w:t>
      </w:r>
      <w:r w:rsidR="005B2CF0">
        <w:t>V</w:t>
      </w:r>
      <w:r w:rsidR="00C40604">
        <w:t>alues</w:t>
      </w:r>
      <w:r w:rsidR="00125C18">
        <w:t xml:space="preserve"> (NPV/PPV)</w:t>
      </w:r>
      <w:r w:rsidR="00C40604">
        <w:t>. Multi-level modeling and Monte-Carlo simulation were used to account for mean bias, within-study variance, between-study varia</w:t>
      </w:r>
      <w:r w:rsidR="00C37155">
        <w:t>nce</w:t>
      </w:r>
      <w:r w:rsidR="00C40604">
        <w:t>, and uncertainty in each parameter estimate.</w:t>
      </w:r>
    </w:p>
    <w:p w14:paraId="08FFE13E" w14:textId="77777777" w:rsidR="00F14FA7" w:rsidRDefault="00F14FA7" w:rsidP="00F14FA7"/>
    <w:p w14:paraId="5B70AF75" w14:textId="77777777" w:rsidR="00F14FA7" w:rsidRPr="0038609B" w:rsidRDefault="00F14FA7" w:rsidP="00F14FA7">
      <w:pPr>
        <w:rPr>
          <w:b/>
          <w:bCs/>
        </w:rPr>
      </w:pPr>
      <w:r w:rsidRPr="0038609B">
        <w:rPr>
          <w:b/>
          <w:bCs/>
        </w:rPr>
        <w:t xml:space="preserve">Results: </w:t>
      </w:r>
    </w:p>
    <w:p w14:paraId="2F84A01C" w14:textId="55450F10" w:rsidR="000213E9" w:rsidRDefault="0095131C" w:rsidP="00DA094D">
      <w:r>
        <w:lastRenderedPageBreak/>
        <w:t>1</w:t>
      </w:r>
      <w:r w:rsidR="00EC198E">
        <w:t xml:space="preserve">97,698 </w:t>
      </w:r>
      <w:r w:rsidR="00F14FA7">
        <w:t>ABGs were included across all clinical settings (</w:t>
      </w:r>
      <w:r w:rsidR="00265E3B">
        <w:t>113,078</w:t>
      </w:r>
      <w:r w:rsidR="00F14FA7">
        <w:t xml:space="preserve"> </w:t>
      </w:r>
      <w:r w:rsidR="00A07463">
        <w:t>ED/Inpt</w:t>
      </w:r>
      <w:r w:rsidR="00F14FA7">
        <w:t xml:space="preserve">, 66,704 ICU, and 10,456 </w:t>
      </w:r>
      <w:r w:rsidR="00C32902">
        <w:t>Amb</w:t>
      </w:r>
      <w:r w:rsidR="00F14FA7">
        <w:t xml:space="preserve">). Median age was 61 years (IQR </w:t>
      </w:r>
      <w:r w:rsidR="00A07463">
        <w:t>51, 74</w:t>
      </w:r>
      <w:r w:rsidR="00F14FA7">
        <w:t>)</w:t>
      </w:r>
      <w:r w:rsidR="00C40B19">
        <w:t xml:space="preserve">, 54.7% were male, and race was </w:t>
      </w:r>
      <w:commentRangeStart w:id="7"/>
      <w:commentRangeStart w:id="8"/>
      <w:r w:rsidR="00C40B19">
        <w:t>comprised of 64.5% non-Hispanic White, 14.3% Black, 5.4% Hispanic, and 1.9% Asian</w:t>
      </w:r>
      <w:r w:rsidR="00F14FA7">
        <w:t xml:space="preserve">. </w:t>
      </w:r>
      <w:commentRangeStart w:id="9"/>
      <w:r w:rsidR="00F14FA7">
        <w:t>Me</w:t>
      </w:r>
      <w:r w:rsidR="00F3329D">
        <w:t>dian</w:t>
      </w:r>
      <w:r w:rsidR="00F14FA7">
        <w:t xml:space="preserve"> PaCO</w:t>
      </w:r>
      <w:r w:rsidR="00B52997" w:rsidRPr="008477EE">
        <w:rPr>
          <w:vertAlign w:val="subscript"/>
        </w:rPr>
        <w:t>2</w:t>
      </w:r>
      <w:r w:rsidR="00F14FA7">
        <w:t xml:space="preserve"> </w:t>
      </w:r>
      <w:commentRangeEnd w:id="9"/>
      <w:r w:rsidR="00670CEB">
        <w:rPr>
          <w:rStyle w:val="CommentReference"/>
          <w:sz w:val="24"/>
          <w:szCs w:val="24"/>
        </w:rPr>
        <w:commentReference w:id="9"/>
      </w:r>
      <w:r w:rsidR="00A96E6D">
        <w:t xml:space="preserve">for all </w:t>
      </w:r>
      <w:r w:rsidR="00D05B30">
        <w:t xml:space="preserve">aggregated </w:t>
      </w:r>
      <w:r w:rsidR="00A96E6D">
        <w:t xml:space="preserve">patients was </w:t>
      </w:r>
      <w:r w:rsidR="00F3329D">
        <w:t xml:space="preserve">40.0 (IQR 34.0, 46.6). </w:t>
      </w:r>
      <w:r w:rsidR="00A62927">
        <w:t xml:space="preserve"> </w:t>
      </w:r>
      <w:commentRangeEnd w:id="7"/>
      <w:r w:rsidR="00AF10CE">
        <w:rPr>
          <w:rStyle w:val="CommentReference"/>
          <w:sz w:val="24"/>
          <w:szCs w:val="24"/>
        </w:rPr>
        <w:commentReference w:id="7"/>
      </w:r>
      <w:commentRangeEnd w:id="8"/>
      <w:r w:rsidR="00483C10">
        <w:rPr>
          <w:rStyle w:val="CommentReference"/>
          <w:sz w:val="24"/>
          <w:szCs w:val="24"/>
        </w:rPr>
        <w:commentReference w:id="8"/>
      </w:r>
      <w:r w:rsidR="000213E9">
        <w:t xml:space="preserve">Prevalence of relevant comorbidities included 12.4% Obstructive Sleep Apnea (OSA), 11.5% asthma, 21.5% </w:t>
      </w:r>
      <w:r w:rsidR="00C54A25">
        <w:t>Chronic Obstructive Pulmonary Disorder (</w:t>
      </w:r>
      <w:r w:rsidR="000213E9">
        <w:t>COPD</w:t>
      </w:r>
      <w:r w:rsidR="00C54A25">
        <w:t>)</w:t>
      </w:r>
      <w:r w:rsidR="000213E9">
        <w:t>, 22.4% Congestive Heart Failure (CHF)</w:t>
      </w:r>
      <w:r w:rsidR="00B61D7B">
        <w:t>, and 4.6% Opioid Use Disorder (OUD).</w:t>
      </w:r>
    </w:p>
    <w:p w14:paraId="0D081497" w14:textId="66B45EF0" w:rsidR="00F14FA7" w:rsidRDefault="00E474BA" w:rsidP="00483C10">
      <w:pPr>
        <w:ind w:firstLine="720"/>
      </w:pPr>
      <w:r>
        <w:t>The proportion with PaCO</w:t>
      </w:r>
      <w:r w:rsidRPr="008477EE">
        <w:rPr>
          <w:vertAlign w:val="subscript"/>
        </w:rPr>
        <w:t>2</w:t>
      </w:r>
      <w:r>
        <w:t xml:space="preserve"> ≥ 45 mmHg was 2</w:t>
      </w:r>
      <w:r w:rsidR="00A62927">
        <w:t>6</w:t>
      </w:r>
      <w:r>
        <w:t>.</w:t>
      </w:r>
      <w:r w:rsidR="00A62927">
        <w:t>5</w:t>
      </w:r>
      <w:r>
        <w:t>% (</w:t>
      </w:r>
      <w:r w:rsidR="00AA257F">
        <w:t>Amb</w:t>
      </w:r>
      <w:r>
        <w:t xml:space="preserve">), </w:t>
      </w:r>
      <w:r w:rsidR="002359F0">
        <w:t>30.1</w:t>
      </w:r>
      <w:r>
        <w:t>% (ED/</w:t>
      </w:r>
      <w:r w:rsidR="00A62927">
        <w:t>Inp</w:t>
      </w:r>
      <w:r>
        <w:t xml:space="preserve">), and 31.7% (ICU). </w:t>
      </w:r>
      <w:r w:rsidR="00DA094D">
        <w:t>Applying a definition of hypercarbia by TcCO</w:t>
      </w:r>
      <w:r w:rsidR="00DA094D" w:rsidRPr="008477EE">
        <w:rPr>
          <w:vertAlign w:val="subscript"/>
        </w:rPr>
        <w:t>2</w:t>
      </w:r>
      <w:r w:rsidR="00DA094D">
        <w:rPr>
          <w:vertAlign w:val="subscript"/>
        </w:rPr>
        <w:t xml:space="preserve"> </w:t>
      </w:r>
      <w:r w:rsidR="00DA094D" w:rsidRPr="00DA094D">
        <w:t>of</w:t>
      </w:r>
      <w:r w:rsidR="00DA094D">
        <w:t xml:space="preserve"> ≥45mmHg</w:t>
      </w:r>
      <w:r w:rsidR="001D69A4">
        <w:t xml:space="preserve"> </w:t>
      </w:r>
      <w:r w:rsidR="00F14FA7" w:rsidRPr="00E30EC7">
        <w:t>yield</w:t>
      </w:r>
      <w:r w:rsidR="00F14FA7">
        <w:t>ed</w:t>
      </w:r>
      <w:r w:rsidR="00F14FA7" w:rsidRPr="00E30EC7">
        <w:t xml:space="preserve"> </w:t>
      </w:r>
      <w:r w:rsidR="00F14FA7">
        <w:t>the following operating</w:t>
      </w:r>
      <w:r w:rsidR="00F14FA7" w:rsidRPr="00E30EC7">
        <w:t xml:space="preserve"> characteristic</w:t>
      </w:r>
      <w:r w:rsidR="00F14FA7">
        <w:t xml:space="preserve"> estimates: </w:t>
      </w:r>
      <w:r w:rsidR="00DA094D">
        <w:t>Se</w:t>
      </w:r>
      <w:r w:rsidR="00A65925">
        <w:t>:</w:t>
      </w:r>
      <w:r w:rsidR="00F14FA7" w:rsidRPr="00E30EC7">
        <w:t xml:space="preserve"> </w:t>
      </w:r>
      <w:r w:rsidR="001D69A4">
        <w:t>8</w:t>
      </w:r>
      <w:r w:rsidR="00AA257F">
        <w:t>1.6</w:t>
      </w:r>
      <w:r w:rsidR="001D69A4">
        <w:t>%-93.1</w:t>
      </w:r>
      <w:r w:rsidR="00F14FA7">
        <w:t>%</w:t>
      </w:r>
      <w:r w:rsidR="00A65925">
        <w:t>;</w:t>
      </w:r>
      <w:r w:rsidR="00F14FA7" w:rsidRPr="00E30EC7">
        <w:t xml:space="preserve"> </w:t>
      </w:r>
      <w:r w:rsidR="00DA094D">
        <w:t>Sp</w:t>
      </w:r>
      <w:r w:rsidR="00A65925">
        <w:t>:</w:t>
      </w:r>
      <w:r w:rsidR="00F14FA7" w:rsidRPr="00E30EC7">
        <w:t xml:space="preserve"> </w:t>
      </w:r>
      <w:r w:rsidR="00F14FA7">
        <w:t>94.</w:t>
      </w:r>
      <w:r w:rsidR="001D69A4">
        <w:t>4</w:t>
      </w:r>
      <w:r w:rsidR="00F14FA7">
        <w:t>%-</w:t>
      </w:r>
      <w:r w:rsidR="00F14FA7" w:rsidRPr="00270D22">
        <w:t>9</w:t>
      </w:r>
      <w:r w:rsidR="00AA257F">
        <w:t>6.9</w:t>
      </w:r>
      <w:r w:rsidR="00F14FA7" w:rsidRPr="00E30EC7">
        <w:t>%</w:t>
      </w:r>
      <w:r w:rsidR="00A65925">
        <w:t>;</w:t>
      </w:r>
      <w:r w:rsidR="00F14FA7" w:rsidRPr="00E30EC7">
        <w:t xml:space="preserve"> </w:t>
      </w:r>
      <w:r w:rsidR="00DA094D">
        <w:t>NPV</w:t>
      </w:r>
      <w:r w:rsidR="00A65925">
        <w:t>:</w:t>
      </w:r>
      <w:r w:rsidR="00F14FA7" w:rsidRPr="00270D22">
        <w:t xml:space="preserve"> </w:t>
      </w:r>
      <w:r w:rsidR="00F14FA7">
        <w:t>9</w:t>
      </w:r>
      <w:r w:rsidR="001D69A4">
        <w:t>2</w:t>
      </w:r>
      <w:r w:rsidR="00F14FA7">
        <w:t>.</w:t>
      </w:r>
      <w:r w:rsidR="00AA257F">
        <w:t>4</w:t>
      </w:r>
      <w:r w:rsidR="00F14FA7">
        <w:t>%-9</w:t>
      </w:r>
      <w:r w:rsidR="001D69A4">
        <w:t>6.7</w:t>
      </w:r>
      <w:r w:rsidR="00F14FA7" w:rsidRPr="00E30EC7">
        <w:t>%</w:t>
      </w:r>
      <w:r w:rsidR="00A65925">
        <w:t>;</w:t>
      </w:r>
      <w:r w:rsidR="00F14FA7" w:rsidRPr="00E30EC7">
        <w:t xml:space="preserve"> and </w:t>
      </w:r>
      <w:r w:rsidR="00DA094D">
        <w:t>PPV</w:t>
      </w:r>
      <w:r w:rsidR="00A65925">
        <w:t>:</w:t>
      </w:r>
      <w:r w:rsidR="00F14FA7" w:rsidRPr="00E30EC7">
        <w:t xml:space="preserve"> </w:t>
      </w:r>
      <w:r w:rsidR="00F14FA7" w:rsidRPr="00270D22">
        <w:t>8</w:t>
      </w:r>
      <w:r w:rsidR="001D69A4">
        <w:t>5.2</w:t>
      </w:r>
      <w:r w:rsidR="00F14FA7" w:rsidRPr="00E30EC7">
        <w:t>%</w:t>
      </w:r>
      <w:r w:rsidR="00F14FA7">
        <w:t>-9</w:t>
      </w:r>
      <w:r w:rsidR="00AA257F">
        <w:t>2.0</w:t>
      </w:r>
      <w:r w:rsidR="00F14FA7">
        <w:t>%</w:t>
      </w:r>
      <w:r w:rsidR="00F14FA7" w:rsidRPr="00E30EC7">
        <w:t>.</w:t>
      </w:r>
      <w:r w:rsidR="00F14FA7">
        <w:t xml:space="preserve"> The greatest false negative</w:t>
      </w:r>
      <w:r w:rsidR="00F5361D">
        <w:t xml:space="preserve"> and false positive</w:t>
      </w:r>
      <w:r w:rsidR="00F14FA7">
        <w:t xml:space="preserve"> rate</w:t>
      </w:r>
      <w:r w:rsidR="00F5361D">
        <w:t>s</w:t>
      </w:r>
      <w:r w:rsidR="00F14FA7">
        <w:t xml:space="preserve"> w</w:t>
      </w:r>
      <w:r w:rsidR="00F5361D">
        <w:t>ere</w:t>
      </w:r>
      <w:r w:rsidR="00F14FA7">
        <w:t xml:space="preserve"> </w:t>
      </w:r>
      <w:r w:rsidR="00F5361D">
        <w:t>5.</w:t>
      </w:r>
      <w:r w:rsidR="00AA257F">
        <w:t>4</w:t>
      </w:r>
      <w:r w:rsidR="00F14FA7">
        <w:t xml:space="preserve">% in the </w:t>
      </w:r>
      <w:r w:rsidR="00F5361D">
        <w:t xml:space="preserve">ED/Inp group </w:t>
      </w:r>
      <w:r w:rsidR="00F14FA7">
        <w:t xml:space="preserve">and </w:t>
      </w:r>
      <w:r w:rsidR="00F5361D">
        <w:t xml:space="preserve">3.8% in the </w:t>
      </w:r>
      <w:r w:rsidR="00AA257F">
        <w:t>Ambulatory</w:t>
      </w:r>
      <w:r w:rsidR="00F5361D">
        <w:t xml:space="preserve"> group, respectively.</w:t>
      </w:r>
      <w:r w:rsidR="00B61FF3">
        <w:t xml:space="preserve"> With </w:t>
      </w:r>
      <w:r w:rsidR="00342E39">
        <w:t xml:space="preserve">the </w:t>
      </w:r>
      <w:r w:rsidR="00B61FF3">
        <w:t xml:space="preserve">more extreme </w:t>
      </w:r>
      <w:r w:rsidR="00342E39">
        <w:t>TcCO</w:t>
      </w:r>
      <w:r w:rsidR="00B52997" w:rsidRPr="008477EE">
        <w:rPr>
          <w:vertAlign w:val="subscript"/>
        </w:rPr>
        <w:t>2</w:t>
      </w:r>
      <w:r w:rsidR="00342E39">
        <w:t xml:space="preserve"> </w:t>
      </w:r>
      <w:r w:rsidR="00B61FF3">
        <w:t>cutoffs</w:t>
      </w:r>
      <w:r w:rsidR="00342E39">
        <w:t>, values for Se/Sp/NPV/PPV all increased to &gt;99% with false classification rates of &lt;1% across all settings.</w:t>
      </w:r>
    </w:p>
    <w:p w14:paraId="0A0AACB7" w14:textId="77777777" w:rsidR="00F14FA7" w:rsidRDefault="00F14FA7" w:rsidP="00F14FA7"/>
    <w:p w14:paraId="5690A360" w14:textId="6398479B" w:rsidR="00F14FA7" w:rsidRPr="0038609B" w:rsidRDefault="00874181" w:rsidP="00F14FA7">
      <w:pPr>
        <w:rPr>
          <w:b/>
          <w:bCs/>
        </w:rPr>
      </w:pPr>
      <w:r>
        <w:rPr>
          <w:b/>
          <w:bCs/>
        </w:rPr>
        <w:t>Discussion</w:t>
      </w:r>
      <w:r w:rsidR="00F14FA7" w:rsidRPr="0038609B">
        <w:rPr>
          <w:b/>
          <w:bCs/>
        </w:rPr>
        <w:t xml:space="preserve">: </w:t>
      </w:r>
    </w:p>
    <w:p w14:paraId="30E9F3E1" w14:textId="70F43F2C" w:rsidR="0049607C" w:rsidRDefault="0049607C" w:rsidP="007628ED">
      <w:pPr>
        <w:ind w:firstLine="720"/>
      </w:pPr>
      <w:r>
        <w:t>While prior literature has characterized the expected agreement between PaCO</w:t>
      </w:r>
      <w:r w:rsidRPr="008477EE">
        <w:rPr>
          <w:vertAlign w:val="subscript"/>
        </w:rPr>
        <w:t>2</w:t>
      </w:r>
      <w:r>
        <w:t xml:space="preserve"> and TcCO</w:t>
      </w:r>
      <w:r w:rsidRPr="008477EE">
        <w:rPr>
          <w:vertAlign w:val="subscript"/>
        </w:rPr>
        <w:t>2</w:t>
      </w:r>
      <w:r>
        <w:t>, our current work is the first of its kind to extend these findings into an applied model</w:t>
      </w:r>
      <w:r w:rsidR="006D28C7">
        <w:t xml:space="preserve"> of classification when those findings are applied to the PaCO</w:t>
      </w:r>
      <w:r w:rsidR="006D28C7" w:rsidRPr="008477EE">
        <w:rPr>
          <w:vertAlign w:val="subscript"/>
        </w:rPr>
        <w:t>2</w:t>
      </w:r>
      <w:r w:rsidR="006D28C7">
        <w:rPr>
          <w:vertAlign w:val="subscript"/>
        </w:rPr>
        <w:t xml:space="preserve"> </w:t>
      </w:r>
      <w:r w:rsidR="006D28C7">
        <w:t>often seen in clinical practice.</w:t>
      </w:r>
      <w:r>
        <w:t xml:space="preserve"> </w:t>
      </w:r>
      <w:r w:rsidR="00F14FA7">
        <w:t xml:space="preserve">Our current simulation suggests </w:t>
      </w:r>
      <w:r w:rsidR="003C6781">
        <w:t>that, with the approximately normal distribution of PaCO</w:t>
      </w:r>
      <w:r w:rsidR="003C6781" w:rsidRPr="008477EE">
        <w:rPr>
          <w:vertAlign w:val="subscript"/>
        </w:rPr>
        <w:t>2</w:t>
      </w:r>
      <w:r w:rsidR="003C6781">
        <w:rPr>
          <w:vertAlign w:val="subscript"/>
        </w:rPr>
        <w:t xml:space="preserve"> </w:t>
      </w:r>
      <w:r w:rsidR="003C6781">
        <w:t>values reported amongst the patients who currently receive ABGs, TcCO</w:t>
      </w:r>
      <w:r w:rsidR="003C6781" w:rsidRPr="008477EE">
        <w:rPr>
          <w:vertAlign w:val="subscript"/>
        </w:rPr>
        <w:t>2</w:t>
      </w:r>
      <w:r w:rsidR="003C6781">
        <w:rPr>
          <w:vertAlign w:val="subscript"/>
        </w:rPr>
        <w:t xml:space="preserve"> </w:t>
      </w:r>
      <w:r w:rsidR="003C6781">
        <w:t>would tend to yield a high degree of accuracy in detecting the presence of hypercapnia.</w:t>
      </w:r>
      <w:r>
        <w:t xml:space="preserve"> </w:t>
      </w:r>
    </w:p>
    <w:p w14:paraId="336CF0F8" w14:textId="4DF45191" w:rsidR="003C6781" w:rsidRDefault="00164ED6" w:rsidP="0049607C">
      <w:pPr>
        <w:ind w:firstLine="720"/>
      </w:pPr>
      <w:r>
        <w:t xml:space="preserve">Although </w:t>
      </w:r>
      <w:r w:rsidR="0063650B">
        <w:t xml:space="preserve">some </w:t>
      </w:r>
      <w:r w:rsidR="00C67F66">
        <w:t xml:space="preserve">patients with </w:t>
      </w:r>
      <w:r>
        <w:t>borderline values of PaCO</w:t>
      </w:r>
      <w:r w:rsidR="004E2F90" w:rsidRPr="008477EE">
        <w:rPr>
          <w:vertAlign w:val="subscript"/>
        </w:rPr>
        <w:t>2</w:t>
      </w:r>
      <w:r w:rsidR="00C67F66">
        <w:t xml:space="preserve"> may be misclassified based upon Tc</w:t>
      </w:r>
      <w:r w:rsidR="00D453C7">
        <w:t>C</w:t>
      </w:r>
      <w:r w:rsidR="00C67F66">
        <w:t>O</w:t>
      </w:r>
      <w:r w:rsidR="00416073" w:rsidRPr="008477EE">
        <w:rPr>
          <w:vertAlign w:val="subscript"/>
        </w:rPr>
        <w:t>2</w:t>
      </w:r>
      <w:r w:rsidR="00C67F66">
        <w:t xml:space="preserve">, this </w:t>
      </w:r>
      <w:r w:rsidR="00960DC2">
        <w:t>rate of misclassification dramatically decreases with the application of slightly more extreme cutoffs of TcCO</w:t>
      </w:r>
      <w:r w:rsidR="00416073" w:rsidRPr="008477EE">
        <w:rPr>
          <w:vertAlign w:val="subscript"/>
        </w:rPr>
        <w:t>2</w:t>
      </w:r>
      <w:r w:rsidR="00416073">
        <w:rPr>
          <w:vertAlign w:val="subscript"/>
        </w:rPr>
        <w:t xml:space="preserve"> </w:t>
      </w:r>
      <w:r w:rsidR="00960DC2">
        <w:t>that exclu</w:t>
      </w:r>
      <w:r w:rsidR="00644D4D">
        <w:t>de a midrange of values (40-50mmHg) that are likely to not be of significant clinical consequence anyways</w:t>
      </w:r>
      <w:r w:rsidR="0068027D">
        <w:t>. In other words, th</w:t>
      </w:r>
      <w:r w:rsidR="00E36DE3">
        <w:t>e</w:t>
      </w:r>
      <w:r w:rsidR="0068027D">
        <w:t>s</w:t>
      </w:r>
      <w:r w:rsidR="00E36DE3">
        <w:t>e</w:t>
      </w:r>
      <w:r w:rsidR="0068027D">
        <w:t xml:space="preserve"> data support that</w:t>
      </w:r>
      <w:r w:rsidR="00D0342F">
        <w:t>,</w:t>
      </w:r>
      <w:r w:rsidR="0068027D">
        <w:t xml:space="preserve"> should a cut-off for hypercapnia by TcCO</w:t>
      </w:r>
      <w:r w:rsidR="004E2F90" w:rsidRPr="008477EE">
        <w:rPr>
          <w:vertAlign w:val="subscript"/>
        </w:rPr>
        <w:t>2</w:t>
      </w:r>
      <w:r w:rsidR="0068027D">
        <w:t xml:space="preserve"> of ≥50mmHg be used, the </w:t>
      </w:r>
      <w:r w:rsidR="002D6B5F">
        <w:t>detection of true hypercapnia would be extremely accurate with a false positive rate far below 1%</w:t>
      </w:r>
      <w:r w:rsidR="00AD2944">
        <w:t xml:space="preserve"> regardless of clinical </w:t>
      </w:r>
      <w:commentRangeStart w:id="10"/>
      <w:r w:rsidR="00AD2944">
        <w:t>setting</w:t>
      </w:r>
      <w:r w:rsidR="002D6B5F">
        <w:t>.</w:t>
      </w:r>
      <w:commentRangeEnd w:id="10"/>
      <w:r w:rsidR="006C18D2">
        <w:rPr>
          <w:rStyle w:val="CommentReference"/>
          <w:sz w:val="24"/>
          <w:szCs w:val="24"/>
        </w:rPr>
        <w:commentReference w:id="10"/>
      </w:r>
    </w:p>
    <w:p w14:paraId="50732EC2" w14:textId="26D91938" w:rsidR="00716A4C" w:rsidRDefault="00F14FA7" w:rsidP="002B2AD2">
      <w:pPr>
        <w:ind w:firstLine="720"/>
      </w:pPr>
      <w:r>
        <w:t>Limitations to this work include that</w:t>
      </w:r>
      <w:r w:rsidR="00D2588A">
        <w:t xml:space="preserve"> the </w:t>
      </w:r>
      <w:r w:rsidR="0048398B">
        <w:t>population most likely to benefit from a non-invasive measurement tool is likely</w:t>
      </w:r>
      <w:r w:rsidR="00980901">
        <w:t xml:space="preserve"> the same as</w:t>
      </w:r>
      <w:r w:rsidR="0048398B">
        <w:t xml:space="preserve"> those with the greatest degree of inaccuracy in TcCO</w:t>
      </w:r>
      <w:r w:rsidR="0048398B" w:rsidRPr="008477EE">
        <w:rPr>
          <w:vertAlign w:val="subscript"/>
        </w:rPr>
        <w:t>2</w:t>
      </w:r>
      <w:r w:rsidR="0048398B">
        <w:rPr>
          <w:vertAlign w:val="subscript"/>
        </w:rPr>
        <w:t xml:space="preserve"> </w:t>
      </w:r>
      <w:r w:rsidR="0048398B">
        <w:t>monitoring – that is, patients with more mild derangements in PaCO</w:t>
      </w:r>
      <w:r w:rsidR="0048398B" w:rsidRPr="008477EE">
        <w:rPr>
          <w:vertAlign w:val="subscript"/>
        </w:rPr>
        <w:t>2</w:t>
      </w:r>
      <w:r w:rsidR="0048398B">
        <w:t xml:space="preserve">. Furthermore, </w:t>
      </w:r>
      <w:r w:rsidR="00C37379">
        <w:t>the assumed gaussian distribution of error in PaCO</w:t>
      </w:r>
      <w:r w:rsidR="00C37379" w:rsidRPr="008477EE">
        <w:rPr>
          <w:vertAlign w:val="subscript"/>
        </w:rPr>
        <w:t>2</w:t>
      </w:r>
      <w:r w:rsidR="00C37379">
        <w:t>-TcCO</w:t>
      </w:r>
      <w:r w:rsidR="00C37379" w:rsidRPr="008477EE">
        <w:rPr>
          <w:vertAlign w:val="subscript"/>
        </w:rPr>
        <w:t>2</w:t>
      </w:r>
      <w:r w:rsidR="00C37379">
        <w:t xml:space="preserve"> agreement may not be accurate in the clinical setting of differential physiology, environment, </w:t>
      </w:r>
      <w:r w:rsidR="004418FB">
        <w:t xml:space="preserve">monitoring device, </w:t>
      </w:r>
      <w:r w:rsidR="00C37379">
        <w:t xml:space="preserve">and variable user error. </w:t>
      </w:r>
      <w:r w:rsidR="00716A4C">
        <w:t xml:space="preserve">Furthermore, </w:t>
      </w:r>
      <w:r w:rsidR="00A61FE4">
        <w:t xml:space="preserve">two </w:t>
      </w:r>
      <w:r w:rsidR="005E7669">
        <w:t xml:space="preserve">potentially </w:t>
      </w:r>
      <w:r w:rsidR="00A61FE4">
        <w:t xml:space="preserve">important points </w:t>
      </w:r>
      <w:r w:rsidR="0053559C">
        <w:t xml:space="preserve">of </w:t>
      </w:r>
      <w:r w:rsidR="008D7E53">
        <w:t>detail</w:t>
      </w:r>
      <w:r w:rsidR="00A61FE4">
        <w:t xml:space="preserve"> are not captured in our data. Fi</w:t>
      </w:r>
      <w:r w:rsidR="004418FB">
        <w:t>nally</w:t>
      </w:r>
      <w:r w:rsidR="00A61FE4">
        <w:t xml:space="preserve">, </w:t>
      </w:r>
      <w:r w:rsidR="00871F07">
        <w:t xml:space="preserve">our simulation </w:t>
      </w:r>
      <w:r w:rsidR="00716A4C">
        <w:t>limited hypercapnia to a dichotomous outcome rather than reflecting the true, continuous nature that may inform nuanced clinical practice.</w:t>
      </w:r>
    </w:p>
    <w:p w14:paraId="5A88D469" w14:textId="77777777" w:rsidR="00F14FA7" w:rsidRDefault="00F14FA7" w:rsidP="00F14FA7"/>
    <w:p w14:paraId="0C15A7B0" w14:textId="756B3364" w:rsidR="00CA5439" w:rsidRPr="00CA5439" w:rsidRDefault="00CA5439" w:rsidP="00F14FA7">
      <w:pPr>
        <w:rPr>
          <w:b/>
          <w:bCs/>
        </w:rPr>
      </w:pPr>
      <w:r>
        <w:rPr>
          <w:b/>
          <w:bCs/>
        </w:rPr>
        <w:t>Conclusions</w:t>
      </w:r>
    </w:p>
    <w:p w14:paraId="3B308BAB" w14:textId="0C17A5B4" w:rsidR="00E8323E" w:rsidRDefault="007628ED" w:rsidP="00F14FA7">
      <w:r>
        <w:t xml:space="preserve">Although Conway et al found that the population limits of agreement extended beyond the </w:t>
      </w:r>
      <w:r w:rsidR="00B5246F">
        <w:t>American Association for Respiratory Care determined ‘clinically acceptable range’ of 7.5mmHg deviation from PaCO</w:t>
      </w:r>
      <w:r w:rsidR="00B5246F">
        <w:rPr>
          <w:vertAlign w:val="subscript"/>
        </w:rPr>
        <w:t>2</w:t>
      </w:r>
      <w:r w:rsidR="00B5246F">
        <w:rPr>
          <w:vertAlign w:val="subscript"/>
        </w:rPr>
        <w:fldChar w:fldCharType="begin"/>
      </w:r>
      <w:r w:rsidR="00B5246F">
        <w:rPr>
          <w:vertAlign w:val="subscript"/>
        </w:rPr>
        <w:instrText xml:space="preserve"> ADDIN ZOTERO_ITEM CSL_CITATION {"citationID":"c9fjk1cH","properties":{"formattedCitation":"\\super 11\\nosupersub{}","plainCitation":"11","noteIndex":0},"citationItems":[{"id":943,"uris":["http://zotero.org/users/16023988/items/6ZAVCZUB"],"itemData":{"id":943,"type":"article-journal","abstract":"An electronic literature search for articles published between January 1990 and September 2011 was conducted by using the PubMed, CINAHL, SCOPUS, and Cochrane Library databases. The update of this clinical practice guideline is the result of reviewing a total of 124 articles: 3 randomized controlled trials, 103 prospective trials, 1 retrospective study, 3 case studies, 11 review articles, 2 surveys and 1 consensus paper on transcutaneous monitoring (TCM) for PtcO2 and PtcCO2. The following recommendations are made following the Grading of Recommendations Assessment, Development, and Evaluation (GRADE) criteria: (1) Although PtcCO2 has a good correlation with PaCO2 and is a reliable method to evaluate plasma CO2 levels, it is recommended that arterial blood gas values be compared to transcutaneous readings taken at the time of arterial sampling, in order to verify the transcutaneous values, and periodically as dictated by the patient's clinical condition. (2) It is suggested that PtcCO2 may be used in clinical settings where monitoring the adequacy of ventilation is indicated. (3) It is suggested that PtcO2 and PtcCO2 may be used in determining the adequacy of tissue perfusion and monitoring of reperfusion. (4) It is suggested that TCM should be avoided in the presence of increased thickness or edema of the skin and/or subcutaneous tissue where the sensor is applied. (5) It is recommended that sites used for a TCM be changed as often as necessary and that they be alternated and observed to avoid thermal injury. Manufacturer recommendations should be followed.","container-title":"Respiratory Care","DOI":"10.4187/respcare.02011","ISSN":"0020-1324","issue":"11","note":"publisher: Daedalus Enterprises for the American Association for Respiratory Therapy","page":"1955-1962","source":"www-liebertpub-com.ezproxy.lib.utah.edu (Atypon)","title":"AARC Clinical Practice Guideline: Transcutaneous Monitoring of Carbon Dioxide and Oxygen: 2012","title-short":"AARC Clinical Practice Guideline","volume":"57","author":[{"family":"Restrepo","given":"Ruben D"},{"family":"Hirst","given":"Keith R"},{"family":"Wittnebel","given":"Leonard"},{"family":"Wettstein","given":"Richard"}],"issued":{"date-parts":[["2012",11]]}}}],"schema":"https://github.com/citation-style-language/schema/raw/master/csl-citation.json"} </w:instrText>
      </w:r>
      <w:r w:rsidR="00B5246F">
        <w:rPr>
          <w:vertAlign w:val="subscript"/>
        </w:rPr>
        <w:fldChar w:fldCharType="separate"/>
      </w:r>
      <w:r w:rsidR="00B5246F" w:rsidRPr="00B5246F">
        <w:rPr>
          <w:rFonts w:ascii="Aptos" w:cs="Times New Roman"/>
          <w:kern w:val="0"/>
          <w:vertAlign w:val="superscript"/>
        </w:rPr>
        <w:t>11</w:t>
      </w:r>
      <w:r w:rsidR="00B5246F">
        <w:rPr>
          <w:vertAlign w:val="subscript"/>
        </w:rPr>
        <w:fldChar w:fldCharType="end"/>
      </w:r>
      <w:r w:rsidR="00B5246F">
        <w:t xml:space="preserve">, our simulation suggests that </w:t>
      </w:r>
      <w:r w:rsidR="00F14FA7">
        <w:t>TcCO</w:t>
      </w:r>
      <w:r w:rsidR="004A394D" w:rsidRPr="008477EE">
        <w:rPr>
          <w:vertAlign w:val="subscript"/>
        </w:rPr>
        <w:t>2</w:t>
      </w:r>
      <w:r w:rsidR="00F14FA7">
        <w:t xml:space="preserve"> may </w:t>
      </w:r>
      <w:r w:rsidR="00B5246F">
        <w:t xml:space="preserve">still </w:t>
      </w:r>
      <w:r w:rsidR="00F14FA7">
        <w:t>have a role in detection of clinically significant hypercapnia across multiple clinical settings</w:t>
      </w:r>
      <w:r w:rsidR="00E8323E">
        <w:t xml:space="preserve"> with a low </w:t>
      </w:r>
      <w:r w:rsidR="00E8323E">
        <w:lastRenderedPageBreak/>
        <w:t>likelihood of making large mistakes in</w:t>
      </w:r>
      <w:r w:rsidR="00A04504">
        <w:t xml:space="preserve"> </w:t>
      </w:r>
      <w:commentRangeStart w:id="11"/>
      <w:r w:rsidR="00A04504">
        <w:t>binary</w:t>
      </w:r>
      <w:r w:rsidR="00E8323E">
        <w:t xml:space="preserve"> classification</w:t>
      </w:r>
      <w:commentRangeEnd w:id="11"/>
      <w:r w:rsidR="00896177">
        <w:rPr>
          <w:rStyle w:val="CommentReference"/>
          <w:sz w:val="24"/>
          <w:szCs w:val="24"/>
        </w:rPr>
        <w:commentReference w:id="11"/>
      </w:r>
      <w:r w:rsidR="00B5246F">
        <w:t xml:space="preserve">. This ability for binary distinction </w:t>
      </w:r>
      <w:r w:rsidR="00BF4C69">
        <w:t xml:space="preserve">is important for a variety of purposes including </w:t>
      </w:r>
      <w:r w:rsidR="00B85C56">
        <w:t xml:space="preserve">differential testing for hypercarbia as a cause of encephalopathy, </w:t>
      </w:r>
      <w:r w:rsidR="00BF4C69">
        <w:t>treatment response monitoring, categorization of sleep disordered breathing,</w:t>
      </w:r>
      <w:r w:rsidR="00B85C56">
        <w:t xml:space="preserve"> and</w:t>
      </w:r>
      <w:r w:rsidR="00BF4C69">
        <w:t xml:space="preserve"> post-operative monitoring.</w:t>
      </w:r>
      <w:r w:rsidR="00DF6BEF">
        <w:t xml:space="preserve"> </w:t>
      </w:r>
      <w:r w:rsidR="00E8323E">
        <w:t>Adoption in regular clinical practice may thus be useful when the d</w:t>
      </w:r>
      <w:r w:rsidR="00FF4FD7">
        <w:t>rawbacks</w:t>
      </w:r>
      <w:r w:rsidR="008430BC">
        <w:t xml:space="preserve"> or </w:t>
      </w:r>
      <w:r w:rsidR="002812FF">
        <w:t xml:space="preserve">requisite skills </w:t>
      </w:r>
      <w:r w:rsidR="00E8323E">
        <w:t xml:space="preserve">of arterial sampling are prohibitive, akin to the </w:t>
      </w:r>
      <w:r w:rsidR="007A77E2">
        <w:t>unambiguous</w:t>
      </w:r>
      <w:r w:rsidR="00E8323E">
        <w:t xml:space="preserve"> utility of the pulse oximeter</w:t>
      </w:r>
      <w:r w:rsidR="007A77E2">
        <w:t xml:space="preserve"> </w:t>
      </w:r>
      <w:r w:rsidR="00143957">
        <w:t xml:space="preserve">in obviating the need for routine arterial sampling </w:t>
      </w:r>
      <w:r w:rsidR="00F915CC">
        <w:t>in</w:t>
      </w:r>
      <w:r w:rsidR="00E33378">
        <w:t xml:space="preserve"> </w:t>
      </w:r>
      <w:r w:rsidR="0012088D">
        <w:t>screening for hypoxemia</w:t>
      </w:r>
      <w:r w:rsidR="007A77E2">
        <w:t>.</w:t>
      </w:r>
      <w:r w:rsidR="006A61A1">
        <w:t xml:space="preserve"> Furthermore, such granularity that continuous monitoring could provide </w:t>
      </w:r>
      <w:r w:rsidR="008F241D">
        <w:t>would be a welcome inclusion in the expanding field of research in ventilat</w:t>
      </w:r>
      <w:r w:rsidR="00F0556F">
        <w:t>ory physiology</w:t>
      </w:r>
      <w:r w:rsidR="008F241D">
        <w:t>.</w:t>
      </w:r>
    </w:p>
    <w:p w14:paraId="173FB14B" w14:textId="4A32CBB5" w:rsidR="004B4A45" w:rsidRDefault="00FB0577" w:rsidP="00F14FA7">
      <w:r>
        <w:tab/>
      </w:r>
    </w:p>
    <w:p w14:paraId="25B2FB53" w14:textId="70B3F1CA" w:rsidR="004B4A45" w:rsidRPr="004B4A45" w:rsidRDefault="004B4A45" w:rsidP="00F14FA7">
      <w:pPr>
        <w:rPr>
          <w:b/>
          <w:bCs/>
        </w:rPr>
      </w:pPr>
      <w:r>
        <w:rPr>
          <w:b/>
          <w:bCs/>
        </w:rPr>
        <w:t>Funding</w:t>
      </w:r>
    </w:p>
    <w:p w14:paraId="4BB001F7" w14:textId="243E7A78" w:rsidR="004B4A45" w:rsidRDefault="004B4A45" w:rsidP="004B4A45">
      <w:r>
        <w:t>This work is supported by grants from the American Thoracic Society (ASPIRE fellowship), the Intermountain F</w:t>
      </w:r>
      <w:r w:rsidR="007E3ACD">
        <w:t>oundation</w:t>
      </w:r>
      <w:r>
        <w:t>, and the National Institutes of Health (</w:t>
      </w:r>
      <w:r w:rsidRPr="00B30BFC">
        <w:t>Ruth L. Kirschstein National Research Service Award 5T32HL105321</w:t>
      </w:r>
      <w:r>
        <w:t xml:space="preserve"> and </w:t>
      </w:r>
      <w:r w:rsidRPr="00154DF7">
        <w:t>National Center for Advancing Translational Sciences</w:t>
      </w:r>
      <w:r>
        <w:t xml:space="preserve"> Award </w:t>
      </w:r>
      <w:r w:rsidRPr="00154DF7">
        <w:t>UM1TR004409</w:t>
      </w:r>
      <w:r>
        <w:t>)</w:t>
      </w:r>
      <w:r w:rsidR="007B2975">
        <w:t>.</w:t>
      </w:r>
    </w:p>
    <w:p w14:paraId="58A4F74C" w14:textId="77777777" w:rsidR="004B4A45" w:rsidRPr="000F7DCF" w:rsidRDefault="004B4A45" w:rsidP="00F14FA7"/>
    <w:p w14:paraId="13CD6ED2" w14:textId="77777777" w:rsidR="00470292" w:rsidRDefault="00470292" w:rsidP="00F14FA7"/>
    <w:p w14:paraId="553A943A" w14:textId="1281B177" w:rsidR="00F14FA7" w:rsidRDefault="00D71613">
      <w:r w:rsidRPr="00D71613">
        <w:rPr>
          <w:noProof/>
        </w:rPr>
        <w:drawing>
          <wp:inline distT="0" distB="0" distL="0" distR="0" wp14:anchorId="1481E093" wp14:editId="18E6C2B3">
            <wp:extent cx="3518611" cy="1368349"/>
            <wp:effectExtent l="0" t="0" r="0" b="3810"/>
            <wp:docPr id="5566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9111" name=""/>
                    <pic:cNvPicPr/>
                  </pic:nvPicPr>
                  <pic:blipFill>
                    <a:blip r:embed="rId9"/>
                    <a:stretch>
                      <a:fillRect/>
                    </a:stretch>
                  </pic:blipFill>
                  <pic:spPr>
                    <a:xfrm>
                      <a:off x="0" y="0"/>
                      <a:ext cx="3532129" cy="1373606"/>
                    </a:xfrm>
                    <a:prstGeom prst="rect">
                      <a:avLst/>
                    </a:prstGeom>
                  </pic:spPr>
                </pic:pic>
              </a:graphicData>
            </a:graphic>
          </wp:inline>
        </w:drawing>
      </w:r>
    </w:p>
    <w:p w14:paraId="1C3DF420" w14:textId="245046D9" w:rsidR="001658B9" w:rsidRDefault="001658B9"/>
    <w:p w14:paraId="7E1BAE4B" w14:textId="4971E784" w:rsidR="00072D87" w:rsidRDefault="00BD2FA9">
      <w:r>
        <w:rPr>
          <w:noProof/>
        </w:rPr>
        <w:drawing>
          <wp:inline distT="0" distB="0" distL="0" distR="0" wp14:anchorId="31CB9A5B" wp14:editId="7EDA39EB">
            <wp:extent cx="3411031" cy="2275114"/>
            <wp:effectExtent l="0" t="0" r="5715" b="0"/>
            <wp:docPr id="1601503019" name="Picture 1" descr="A graph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03019" name="Picture 1" descr="A graph of blood pressu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6344" cy="2285327"/>
                    </a:xfrm>
                    <a:prstGeom prst="rect">
                      <a:avLst/>
                    </a:prstGeom>
                  </pic:spPr>
                </pic:pic>
              </a:graphicData>
            </a:graphic>
          </wp:inline>
        </w:drawing>
      </w:r>
    </w:p>
    <w:p w14:paraId="74EA821A" w14:textId="77777777" w:rsidR="00D71613" w:rsidRDefault="00D71613"/>
    <w:p w14:paraId="181A9BD0" w14:textId="77777777" w:rsidR="0098377C" w:rsidRDefault="0098377C"/>
    <w:p w14:paraId="35524163" w14:textId="77777777" w:rsidR="0098377C" w:rsidRDefault="0098377C"/>
    <w:p w14:paraId="22A47C1A" w14:textId="77777777" w:rsidR="0098377C" w:rsidRDefault="0098377C"/>
    <w:p w14:paraId="10756102" w14:textId="77777777" w:rsidR="0098377C" w:rsidRDefault="0098377C"/>
    <w:p w14:paraId="37B57E54" w14:textId="77777777" w:rsidR="00315405" w:rsidRDefault="00315405"/>
    <w:p w14:paraId="52F52A25" w14:textId="779D12EE" w:rsidR="0098377C" w:rsidRDefault="0098377C">
      <w:pPr>
        <w:rPr>
          <w:b/>
          <w:bCs/>
        </w:rPr>
      </w:pPr>
      <w:r>
        <w:rPr>
          <w:b/>
          <w:bCs/>
        </w:rPr>
        <w:lastRenderedPageBreak/>
        <w:t>References</w:t>
      </w:r>
    </w:p>
    <w:p w14:paraId="004356D3" w14:textId="77777777" w:rsidR="0098377C" w:rsidRPr="0098377C" w:rsidRDefault="0098377C">
      <w:pPr>
        <w:rPr>
          <w:b/>
          <w:bCs/>
        </w:rPr>
      </w:pPr>
    </w:p>
    <w:p w14:paraId="6BE91472" w14:textId="77777777" w:rsidR="00B5246F" w:rsidRPr="00B5246F" w:rsidRDefault="00315405" w:rsidP="00B5246F">
      <w:pPr>
        <w:pStyle w:val="Bibliography"/>
      </w:pPr>
      <w:r>
        <w:fldChar w:fldCharType="begin"/>
      </w:r>
      <w:r>
        <w:instrText xml:space="preserve"> ADDIN ZOTERO_BIBL {"uncited":[],"omitted":[],"custom":[]} CSL_BIBLIOGRAPHY </w:instrText>
      </w:r>
      <w:r>
        <w:fldChar w:fldCharType="separate"/>
      </w:r>
      <w:r w:rsidR="00B5246F" w:rsidRPr="00B5246F">
        <w:t>1.</w:t>
      </w:r>
      <w:r w:rsidR="00B5246F" w:rsidRPr="00B5246F">
        <w:tab/>
        <w:t xml:space="preserve">Konishi M, Akiyama E, Suzuki H, et al. Hypercapnia in patients with acute heart failure. </w:t>
      </w:r>
      <w:r w:rsidR="00B5246F" w:rsidRPr="00B5246F">
        <w:rPr>
          <w:i/>
          <w:iCs/>
        </w:rPr>
        <w:t>ESC Heart Fail</w:t>
      </w:r>
      <w:r w:rsidR="00B5246F" w:rsidRPr="00B5246F">
        <w:t>. 2015;2(1):12-19. doi:10.1002/ehf2.12023</w:t>
      </w:r>
    </w:p>
    <w:p w14:paraId="67C2416A" w14:textId="77777777" w:rsidR="00B5246F" w:rsidRPr="00B5246F" w:rsidRDefault="00B5246F" w:rsidP="00B5246F">
      <w:pPr>
        <w:pStyle w:val="Bibliography"/>
      </w:pPr>
      <w:r w:rsidRPr="00B5246F">
        <w:t>2.</w:t>
      </w:r>
      <w:r w:rsidRPr="00B5246F">
        <w:tab/>
        <w:t xml:space="preserve">Nin N, Muriel A, Peñuelas O, et al. Severe hypercapnia and outcome of mechanically ventilated patients with moderate or severe acute respiratory distress syndrome. </w:t>
      </w:r>
      <w:r w:rsidRPr="00B5246F">
        <w:rPr>
          <w:i/>
          <w:iCs/>
        </w:rPr>
        <w:t>Intensive Care Med</w:t>
      </w:r>
      <w:r w:rsidRPr="00B5246F">
        <w:t>. 2017;43(2):200-208. doi:10.1007/s00134-016-4611-1</w:t>
      </w:r>
    </w:p>
    <w:p w14:paraId="22545DD8" w14:textId="77777777" w:rsidR="00B5246F" w:rsidRPr="00B5246F" w:rsidRDefault="00B5246F" w:rsidP="00B5246F">
      <w:pPr>
        <w:pStyle w:val="Bibliography"/>
      </w:pPr>
      <w:r w:rsidRPr="00B5246F">
        <w:t>3.</w:t>
      </w:r>
      <w:r w:rsidRPr="00B5246F">
        <w:tab/>
        <w:t xml:space="preserve">Wilson MW, Labaki WW, Choi PJ. Mortality and Healthcare Use of Patients with Compensated Hypercapnia. </w:t>
      </w:r>
      <w:r w:rsidRPr="00B5246F">
        <w:rPr>
          <w:i/>
          <w:iCs/>
        </w:rPr>
        <w:t>Ann Am Thorac Soc</w:t>
      </w:r>
      <w:r w:rsidRPr="00B5246F">
        <w:t>. 18(12):2027-2032. doi:10.1513/AnnalsATS.202009-1197OC</w:t>
      </w:r>
    </w:p>
    <w:p w14:paraId="19A0F53F" w14:textId="77777777" w:rsidR="00B5246F" w:rsidRPr="00B5246F" w:rsidRDefault="00B5246F" w:rsidP="00B5246F">
      <w:pPr>
        <w:pStyle w:val="Bibliography"/>
      </w:pPr>
      <w:r w:rsidRPr="00B5246F">
        <w:t>4.</w:t>
      </w:r>
      <w:r w:rsidRPr="00B5246F">
        <w:tab/>
        <w:t>Fazekas AS, Aboulghaith M, Kriz RC, et al. Long-term outcomes after acute hypercapnic COPD exacerbation</w:t>
      </w:r>
      <w:r w:rsidRPr="00B5246F">
        <w:rPr>
          <w:rFonts w:ascii="Arial" w:hAnsi="Arial" w:cs="Arial"/>
        </w:rPr>
        <w:t> </w:t>
      </w:r>
      <w:r w:rsidRPr="00B5246F">
        <w:t xml:space="preserve">: First-ever episode of non-invasive ventilation. </w:t>
      </w:r>
      <w:r w:rsidRPr="00B5246F">
        <w:rPr>
          <w:i/>
          <w:iCs/>
        </w:rPr>
        <w:t>Wien Klin Wochenschr</w:t>
      </w:r>
      <w:r w:rsidRPr="00B5246F">
        <w:t>. 2018;130(19-20):561-568. doi:10.1007/s00508-018-1364-6</w:t>
      </w:r>
    </w:p>
    <w:p w14:paraId="4EED3A31" w14:textId="77777777" w:rsidR="00B5246F" w:rsidRPr="00B5246F" w:rsidRDefault="00B5246F" w:rsidP="00B5246F">
      <w:pPr>
        <w:pStyle w:val="Bibliography"/>
      </w:pPr>
      <w:r w:rsidRPr="00B5246F">
        <w:t>5.</w:t>
      </w:r>
      <w:r w:rsidRPr="00B5246F">
        <w:tab/>
        <w:t xml:space="preserve">Tiruvoipati R, Pilcher D, Buscher H, Botha J, Bailey M. Effects of Hypercapnia and Hypercapnic Acidosis on Hospital Mortality in Mechanically Ventilated Patients. </w:t>
      </w:r>
      <w:r w:rsidRPr="00B5246F">
        <w:rPr>
          <w:i/>
          <w:iCs/>
        </w:rPr>
        <w:t>Crit Care Med</w:t>
      </w:r>
      <w:r w:rsidRPr="00B5246F">
        <w:t>. 2017;45(7):e649-e656. doi:10.1097/CCM.0000000000002332</w:t>
      </w:r>
    </w:p>
    <w:p w14:paraId="7DDE4E80" w14:textId="77777777" w:rsidR="00B5246F" w:rsidRPr="00B5246F" w:rsidRDefault="00B5246F" w:rsidP="00B5246F">
      <w:pPr>
        <w:pStyle w:val="Bibliography"/>
      </w:pPr>
      <w:r w:rsidRPr="00B5246F">
        <w:t>6.</w:t>
      </w:r>
      <w:r w:rsidRPr="00B5246F">
        <w:tab/>
        <w:t xml:space="preserve">Locke BW, Richards WW, Gouripeddi R, et al. The Consistency of Hypercapnic Respiratory Failure Case Definitions in Electronic Health Record Data. </w:t>
      </w:r>
      <w:r w:rsidRPr="00B5246F">
        <w:rPr>
          <w:i/>
          <w:iCs/>
        </w:rPr>
        <w:t>Chest</w:t>
      </w:r>
      <w:r w:rsidRPr="00B5246F">
        <w:t>. Published online August 28, 2025:S0012-3692(25)05126-8. doi:10.1016/j.chest.2025.08.002</w:t>
      </w:r>
    </w:p>
    <w:p w14:paraId="5476897F" w14:textId="77777777" w:rsidR="00B5246F" w:rsidRPr="00B5246F" w:rsidRDefault="00B5246F" w:rsidP="00B5246F">
      <w:pPr>
        <w:pStyle w:val="Bibliography"/>
      </w:pPr>
      <w:r w:rsidRPr="00B5246F">
        <w:t>7.</w:t>
      </w:r>
      <w:r w:rsidRPr="00B5246F">
        <w:tab/>
        <w:t xml:space="preserve">Baptistella CDPA, Mendes C de A, Silva MJ, Wolosker N. Retrospective Observational Single-Center Study of Complications of Arterial Indwelling Catheters for Invasive Blood Pressure in Intensive Care Unit Patients. </w:t>
      </w:r>
      <w:r w:rsidRPr="00B5246F">
        <w:rPr>
          <w:i/>
          <w:iCs/>
        </w:rPr>
        <w:t>Angiology</w:t>
      </w:r>
      <w:r w:rsidRPr="00B5246F">
        <w:t>. 2022;73(5):431-437. doi:10.1177/00033197211052127</w:t>
      </w:r>
    </w:p>
    <w:p w14:paraId="6285B6DC" w14:textId="77777777" w:rsidR="00B5246F" w:rsidRPr="00B5246F" w:rsidRDefault="00B5246F" w:rsidP="00B5246F">
      <w:pPr>
        <w:pStyle w:val="Bibliography"/>
      </w:pPr>
      <w:r w:rsidRPr="00B5246F">
        <w:t>8.</w:t>
      </w:r>
      <w:r w:rsidRPr="00B5246F">
        <w:tab/>
        <w:t xml:space="preserve">Scheer B, Perel A, Pfeiffer UJ. Clinical review: complications and risk factors of peripheral arterial catheters used for haemodynamic monitoring in anaesthesia and intensive care medicine. </w:t>
      </w:r>
      <w:r w:rsidRPr="00B5246F">
        <w:rPr>
          <w:i/>
          <w:iCs/>
        </w:rPr>
        <w:t>Crit Care Lond Engl</w:t>
      </w:r>
      <w:r w:rsidRPr="00B5246F">
        <w:t>. 2002;6(3):199-204. doi:10.1186/cc1489</w:t>
      </w:r>
    </w:p>
    <w:p w14:paraId="3EC4FB13" w14:textId="77777777" w:rsidR="00B5246F" w:rsidRPr="00B5246F" w:rsidRDefault="00B5246F" w:rsidP="00B5246F">
      <w:pPr>
        <w:pStyle w:val="Bibliography"/>
      </w:pPr>
      <w:r w:rsidRPr="00B5246F">
        <w:t>9.</w:t>
      </w:r>
      <w:r w:rsidRPr="00B5246F">
        <w:tab/>
        <w:t xml:space="preserve">Farenden S, Chung Y, Cui A, Ferguson I. Prospective, observational study investigating the level of agreement between transcutaneous and invasive carbon dioxide measurements in critically ill emergency department patients. </w:t>
      </w:r>
      <w:r w:rsidRPr="00B5246F">
        <w:rPr>
          <w:i/>
          <w:iCs/>
        </w:rPr>
        <w:t>Emerg Med J EMJ</w:t>
      </w:r>
      <w:r w:rsidRPr="00B5246F">
        <w:t>. 2023;40(9):646-650. doi:10.1136/emermed-2022-212465</w:t>
      </w:r>
    </w:p>
    <w:p w14:paraId="25E0E9FC" w14:textId="02A6B670" w:rsidR="00B5246F" w:rsidRPr="00B5246F" w:rsidRDefault="00B5246F" w:rsidP="00B5246F">
      <w:pPr>
        <w:pStyle w:val="Bibliography"/>
      </w:pPr>
      <w:r w:rsidRPr="00B5246F">
        <w:t xml:space="preserve">10.Conway A, Tipton E, Liu WH, et al. Accuracy and precision of transcutaneous carbon dioxide monitoring: a systematic review and meta-analysis. </w:t>
      </w:r>
      <w:r w:rsidRPr="00B5246F">
        <w:rPr>
          <w:i/>
          <w:iCs/>
        </w:rPr>
        <w:t>Thorax</w:t>
      </w:r>
      <w:r w:rsidRPr="00B5246F">
        <w:t>. 2019;74(2):157-163. doi:10.1136/thoraxjnl-2017-211466</w:t>
      </w:r>
    </w:p>
    <w:p w14:paraId="407D3978" w14:textId="50B1A7CD" w:rsidR="00B5246F" w:rsidRPr="00B5246F" w:rsidRDefault="00B5246F" w:rsidP="00B5246F">
      <w:pPr>
        <w:pStyle w:val="Bibliography"/>
      </w:pPr>
      <w:r w:rsidRPr="00B5246F">
        <w:t xml:space="preserve">11.Restrepo RD, Hirst KR, Wittnebel L, Wettstein R. AARC Clinical Practice Guideline: Transcutaneous Monitoring of Carbon Dioxide and Oxygen: 2012. </w:t>
      </w:r>
      <w:r w:rsidRPr="00B5246F">
        <w:rPr>
          <w:i/>
          <w:iCs/>
        </w:rPr>
        <w:t>Respir Care</w:t>
      </w:r>
      <w:r w:rsidRPr="00B5246F">
        <w:t>. 2012;57(11):1955-1962. doi:10.4187/respcare.02011</w:t>
      </w:r>
    </w:p>
    <w:p w14:paraId="76394157" w14:textId="1F129107" w:rsidR="00315405" w:rsidRDefault="00315405" w:rsidP="00B5246F">
      <w:pPr>
        <w:pStyle w:val="Bibliography"/>
      </w:pPr>
      <w:r>
        <w:lastRenderedPageBreak/>
        <w:fldChar w:fldCharType="end"/>
      </w:r>
    </w:p>
    <w:sectPr w:rsidR="00315405" w:rsidSect="003864E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2-17T13:55:00Z" w:initials="BL">
    <w:p w14:paraId="0A2AED27" w14:textId="77777777" w:rsidR="009507B7" w:rsidRDefault="009507B7" w:rsidP="009507B7">
      <w:r>
        <w:rPr>
          <w:rStyle w:val="CommentReference"/>
        </w:rPr>
        <w:annotationRef/>
      </w:r>
      <w:r>
        <w:rPr>
          <w:sz w:val="20"/>
          <w:szCs w:val="20"/>
        </w:rPr>
        <w:t>A Short Report describes novel findings that have potential clinical impact but are not developed enough to warrant publication as Original Research. Short Reports should not be interim analyses of ongoing projects. Case reports will not be considered.</w:t>
      </w:r>
    </w:p>
    <w:p w14:paraId="2BD8AD1D" w14:textId="77777777" w:rsidR="009507B7" w:rsidRDefault="009507B7" w:rsidP="009507B7"/>
    <w:p w14:paraId="3275F100" w14:textId="77777777" w:rsidR="009507B7" w:rsidRDefault="009507B7" w:rsidP="009507B7">
      <w:r>
        <w:rPr>
          <w:sz w:val="20"/>
          <w:szCs w:val="20"/>
        </w:rPr>
        <w:t>1,500-word limit (must include: Title Page, Introduction, Methods, Results, Discussion, and References)</w:t>
      </w:r>
    </w:p>
    <w:p w14:paraId="71AB6111" w14:textId="77777777" w:rsidR="009507B7" w:rsidRDefault="009507B7" w:rsidP="009507B7">
      <w:r>
        <w:rPr>
          <w:sz w:val="20"/>
          <w:szCs w:val="20"/>
        </w:rPr>
        <w:t>No abstract and no supplementary material</w:t>
      </w:r>
    </w:p>
    <w:p w14:paraId="56B7C1BC" w14:textId="77777777" w:rsidR="009507B7" w:rsidRDefault="009507B7" w:rsidP="009507B7">
      <w:r>
        <w:rPr>
          <w:sz w:val="20"/>
          <w:szCs w:val="20"/>
        </w:rPr>
        <w:t>Maximum of 2 figures and/or tables</w:t>
      </w:r>
    </w:p>
    <w:p w14:paraId="2FA72950" w14:textId="77777777" w:rsidR="009507B7" w:rsidRDefault="009507B7" w:rsidP="009507B7">
      <w:r>
        <w:rPr>
          <w:sz w:val="20"/>
          <w:szCs w:val="20"/>
        </w:rPr>
        <w:t>Maximum of 15 references</w:t>
      </w:r>
    </w:p>
  </w:comment>
  <w:comment w:id="1" w:author="Brian Locke [2]" w:date="2025-12-20T12:55:00Z" w:initials="BL">
    <w:p w14:paraId="3EA4BF76" w14:textId="77777777" w:rsidR="006704B4" w:rsidRDefault="006704B4" w:rsidP="006704B4">
      <w:r>
        <w:rPr>
          <w:rStyle w:val="CommentReference"/>
        </w:rPr>
        <w:annotationRef/>
      </w:r>
      <w:r>
        <w:rPr>
          <w:sz w:val="20"/>
          <w:szCs w:val="20"/>
        </w:rPr>
        <w:t>I'd suggest we go for "Respiratory Care - Short Report" ^ Requirements above</w:t>
      </w:r>
    </w:p>
  </w:comment>
  <w:comment w:id="2" w:author="Brian Locke" w:date="2025-12-17T14:01:00Z" w:initials="BL">
    <w:p w14:paraId="41E967B4" w14:textId="49301C61" w:rsidR="009507B7" w:rsidRDefault="009507B7" w:rsidP="009507B7">
      <w:r>
        <w:rPr>
          <w:rStyle w:val="CommentReference"/>
        </w:rPr>
        <w:annotationRef/>
      </w:r>
      <w:r>
        <w:rPr>
          <w:sz w:val="20"/>
          <w:szCs w:val="20"/>
        </w:rPr>
        <w:t xml:space="preserve">This hampers their acceptability for use in routine monitoring, as an entry or screening criteria, or as a screen. </w:t>
      </w:r>
    </w:p>
  </w:comment>
  <w:comment w:id="3" w:author="Brian Locke" w:date="2025-12-17T14:01:00Z" w:initials="BL">
    <w:p w14:paraId="0775A0A5" w14:textId="77777777" w:rsidR="009507B7" w:rsidRDefault="009507B7" w:rsidP="009507B7">
      <w:r>
        <w:rPr>
          <w:rStyle w:val="CommentReference"/>
        </w:rPr>
        <w:annotationRef/>
      </w:r>
      <w:r>
        <w:rPr>
          <w:sz w:val="20"/>
          <w:szCs w:val="20"/>
        </w:rPr>
        <w:t xml:space="preserve">or that its clinical utility is insufficient warrant reimbursement for the assessments. </w:t>
      </w:r>
    </w:p>
  </w:comment>
  <w:comment w:id="4" w:author="Brian Locke [2]" w:date="2025-12-21T12:39:00Z" w:initials="BL">
    <w:p w14:paraId="3A10EA72" w14:textId="77777777" w:rsidR="00D0284B" w:rsidRDefault="00D0284B" w:rsidP="00D0284B">
      <w:r>
        <w:rPr>
          <w:rStyle w:val="CommentReference"/>
        </w:rPr>
        <w:annotationRef/>
      </w:r>
      <w:r>
        <w:rPr>
          <w:sz w:val="20"/>
          <w:szCs w:val="20"/>
        </w:rPr>
        <w:t>I'd probably split this out into sub-paragraphs: the first one explaining the overall structure as a simulated application of a meta-analytic disagreement model and routinely collected EHR data. Then a paragraph talking about inclusions, then a paragraph talking about the modeling, then a paragraph about the outcome classification (even if each 'paragraph' is like 1-3 sentences I think this'll make it easier to grok</w:t>
      </w:r>
    </w:p>
  </w:comment>
  <w:comment w:id="5" w:author="Brian Locke" w:date="2025-12-17T14:08:00Z" w:initials="BL">
    <w:p w14:paraId="19DCE1A6" w14:textId="77777777" w:rsidR="00FA0A6B" w:rsidRDefault="00FA0A6B" w:rsidP="00142523">
      <w:r>
        <w:rPr>
          <w:rStyle w:val="CommentReference"/>
        </w:rPr>
        <w:annotationRef/>
      </w:r>
      <w:r>
        <w:rPr>
          <w:sz w:val="20"/>
          <w:szCs w:val="20"/>
        </w:rPr>
        <w:t xml:space="preserve">I think technically the designation is just "outpuatient", but it's hard to imagine many of these in situations other than PFTs - we should probably mention that it's just an assumption though. </w:t>
      </w:r>
    </w:p>
  </w:comment>
  <w:comment w:id="6" w:author="Brian Locke [2]" w:date="2025-12-21T12:39:00Z" w:initials="BL">
    <w:p w14:paraId="49C96529" w14:textId="77777777" w:rsidR="00FA0A6B" w:rsidRDefault="00FA0A6B" w:rsidP="00D0284B">
      <w:r>
        <w:rPr>
          <w:rStyle w:val="CommentReference"/>
        </w:rPr>
        <w:annotationRef/>
      </w:r>
      <w:r>
        <w:rPr>
          <w:sz w:val="20"/>
          <w:szCs w:val="20"/>
        </w:rPr>
        <w:t>ie. we should probably say we make the assumption that outpatient blood gasses were almost exclusively obtained in a PFT setting, but we don't know that for sure</w:t>
      </w:r>
    </w:p>
  </w:comment>
  <w:comment w:id="9" w:author="Brian Locke [2]" w:date="2025-12-20T18:56:00Z" w:initials="BL">
    <w:p w14:paraId="36F2D168" w14:textId="2B6F2DD5" w:rsidR="00670CEB" w:rsidRDefault="00670CEB" w:rsidP="00670CEB">
      <w:r>
        <w:rPr>
          <w:rStyle w:val="CommentReference"/>
        </w:rPr>
        <w:annotationRef/>
      </w:r>
      <w:r>
        <w:rPr>
          <w:sz w:val="20"/>
          <w:szCs w:val="20"/>
        </w:rPr>
        <w:t>we should probably switch from “per ABG” to “encounters with an arterial CO2 recorded”as the unit of the analysis through the paper (as we took first ABGs on the calendar day of admission only)</w:t>
      </w:r>
    </w:p>
  </w:comment>
  <w:comment w:id="7" w:author="Brian Locke [2]" w:date="2025-12-21T12:56:00Z" w:initials="BL">
    <w:p w14:paraId="6A98DB3D" w14:textId="77777777" w:rsidR="00AF10CE" w:rsidRDefault="00AF10CE" w:rsidP="00AF10CE">
      <w:r>
        <w:rPr>
          <w:rStyle w:val="CommentReference"/>
        </w:rPr>
        <w:annotationRef/>
      </w:r>
      <w:r>
        <w:rPr>
          <w:sz w:val="20"/>
          <w:szCs w:val="20"/>
        </w:rPr>
        <w:t>We should probably characterize the population a bit more in terms of daignosed conditions - does the version of the dataset I gave you have that?</w:t>
      </w:r>
    </w:p>
  </w:comment>
  <w:comment w:id="8" w:author="Dustin Anderson-Bell" w:date="2025-12-22T10:51:00Z" w:initials="DAB">
    <w:p w14:paraId="6F6DCABE" w14:textId="77777777" w:rsidR="00483C10" w:rsidRDefault="00483C10" w:rsidP="00483C10">
      <w:r>
        <w:rPr>
          <w:rStyle w:val="CommentReference"/>
        </w:rPr>
        <w:annotationRef/>
      </w:r>
      <w:r>
        <w:rPr>
          <w:sz w:val="20"/>
          <w:szCs w:val="20"/>
        </w:rPr>
        <w:t>Any other comorbidities you think we should include?</w:t>
      </w:r>
    </w:p>
  </w:comment>
  <w:comment w:id="10" w:author="Brian Locke [2]" w:date="2025-12-21T13:03:00Z" w:initials="BL">
    <w:p w14:paraId="295EDC34" w14:textId="77777777" w:rsidR="006C18D2" w:rsidRDefault="006C18D2" w:rsidP="006C18D2">
      <w:r>
        <w:rPr>
          <w:rStyle w:val="CommentReference"/>
        </w:rPr>
        <w:annotationRef/>
      </w:r>
      <w:r>
        <w:rPr>
          <w:sz w:val="20"/>
          <w:szCs w:val="20"/>
        </w:rPr>
        <w:t>I think a sentence on how our work extends the literature would be good - so the spell out specifically - prior literature characterized the expected agreement between the two measures, but we've extended that by modeling how appilcation of that degree of agreement woudl function when applied to the usual degree of PaCO2 derangement seen in clinical practice.</w:t>
      </w:r>
    </w:p>
  </w:comment>
  <w:comment w:id="11" w:author="Brian Locke [2]" w:date="2025-12-21T13:30:00Z" w:initials="BL">
    <w:p w14:paraId="6951645A" w14:textId="77777777" w:rsidR="00896177" w:rsidRDefault="00896177" w:rsidP="00896177">
      <w:r>
        <w:rPr>
          <w:rStyle w:val="CommentReference"/>
        </w:rPr>
        <w:annotationRef/>
      </w:r>
      <w:r>
        <w:rPr>
          <w:sz w:val="20"/>
          <w:szCs w:val="20"/>
        </w:rPr>
        <w:t xml:space="preserve">I like this - I think we should mention that TcCO2 can be used for a variety of purposes (e.g. treatment response monitoring, categorization of sleep deisordered breathing, post-operative monitoring etc.) and that guidance documents have given an arbitrary accuracy target - but what we've done is said at least for the purposes of categorizing who has hypercapnia and not - TcCO2 is likely sufficient for many purposes.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72950" w15:done="0"/>
  <w15:commentEx w15:paraId="3EA4BF76" w15:paraIdParent="2FA72950" w15:done="0"/>
  <w15:commentEx w15:paraId="41E967B4" w15:done="1"/>
  <w15:commentEx w15:paraId="0775A0A5" w15:done="1"/>
  <w15:commentEx w15:paraId="3A10EA72" w15:done="1"/>
  <w15:commentEx w15:paraId="19DCE1A6" w15:done="1"/>
  <w15:commentEx w15:paraId="49C96529" w15:paraIdParent="19DCE1A6" w15:done="1"/>
  <w15:commentEx w15:paraId="36F2D168" w15:done="1"/>
  <w15:commentEx w15:paraId="6A98DB3D" w15:done="0"/>
  <w15:commentEx w15:paraId="6F6DCABE" w15:paraIdParent="6A98DB3D" w15:done="0"/>
  <w15:commentEx w15:paraId="295EDC34" w15:done="1"/>
  <w15:commentEx w15:paraId="6951645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36FC2C" w16cex:dateUtc="2025-12-17T20:55:00Z"/>
  <w16cex:commentExtensible w16cex:durableId="23D375FF" w16cex:dateUtc="2025-12-20T19:55:00Z"/>
  <w16cex:commentExtensible w16cex:durableId="3BF01082" w16cex:dateUtc="2025-12-17T21:01:00Z"/>
  <w16cex:commentExtensible w16cex:durableId="202381BA" w16cex:dateUtc="2025-12-17T21:01:00Z"/>
  <w16cex:commentExtensible w16cex:durableId="13871A24" w16cex:dateUtc="2025-12-21T19:39:00Z"/>
  <w16cex:commentExtensible w16cex:durableId="0DE54582" w16cex:dateUtc="2025-12-17T21:08:00Z"/>
  <w16cex:commentExtensible w16cex:durableId="516247F4" w16cex:dateUtc="2025-12-21T19:39:00Z"/>
  <w16cex:commentExtensible w16cex:durableId="47A9EE8D" w16cex:dateUtc="2025-12-21T01:56:00Z"/>
  <w16cex:commentExtensible w16cex:durableId="1305640A" w16cex:dateUtc="2025-12-21T19:56:00Z"/>
  <w16cex:commentExtensible w16cex:durableId="74102528" w16cex:dateUtc="2025-12-22T17:51:00Z"/>
  <w16cex:commentExtensible w16cex:durableId="1F62F80E" w16cex:dateUtc="2025-12-21T20:03:00Z"/>
  <w16cex:commentExtensible w16cex:durableId="28F635AE" w16cex:dateUtc="2025-12-21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72950" w16cid:durableId="3136FC2C"/>
  <w16cid:commentId w16cid:paraId="3EA4BF76" w16cid:durableId="23D375FF"/>
  <w16cid:commentId w16cid:paraId="41E967B4" w16cid:durableId="3BF01082"/>
  <w16cid:commentId w16cid:paraId="0775A0A5" w16cid:durableId="202381BA"/>
  <w16cid:commentId w16cid:paraId="3A10EA72" w16cid:durableId="13871A24"/>
  <w16cid:commentId w16cid:paraId="19DCE1A6" w16cid:durableId="0DE54582"/>
  <w16cid:commentId w16cid:paraId="49C96529" w16cid:durableId="516247F4"/>
  <w16cid:commentId w16cid:paraId="36F2D168" w16cid:durableId="47A9EE8D"/>
  <w16cid:commentId w16cid:paraId="6A98DB3D" w16cid:durableId="1305640A"/>
  <w16cid:commentId w16cid:paraId="6F6DCABE" w16cid:durableId="74102528"/>
  <w16cid:commentId w16cid:paraId="295EDC34" w16cid:durableId="1F62F80E"/>
  <w16cid:commentId w16cid:paraId="6951645A" w16cid:durableId="28F635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F0F40"/>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85994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u0476159@umail.utah.edu::6b682560-f349-4700-93d6-cc89da2ba435"/>
  </w15:person>
  <w15:person w15:author="Brian Locke [2]">
    <w15:presenceInfo w15:providerId="AD" w15:userId="S::locke@mountainbiometrics.com::3e92e2c1-cba6-4306-8707-a9c18ff46fa4"/>
  </w15:person>
  <w15:person w15:author="Dustin Anderson-Bell">
    <w15:presenceInfo w15:providerId="AD" w15:userId="S::u6049704@umail.utah.edu::d2fc2de5-ff4f-4612-b668-01f5c3d51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3E"/>
    <w:rsid w:val="000032E5"/>
    <w:rsid w:val="00014CD5"/>
    <w:rsid w:val="00016AF5"/>
    <w:rsid w:val="000213E9"/>
    <w:rsid w:val="00023481"/>
    <w:rsid w:val="00032E42"/>
    <w:rsid w:val="00046A59"/>
    <w:rsid w:val="00055D92"/>
    <w:rsid w:val="00072D87"/>
    <w:rsid w:val="00083A16"/>
    <w:rsid w:val="00086154"/>
    <w:rsid w:val="000B4069"/>
    <w:rsid w:val="000B6D2B"/>
    <w:rsid w:val="000D7895"/>
    <w:rsid w:val="00105A3B"/>
    <w:rsid w:val="00114A41"/>
    <w:rsid w:val="0012088D"/>
    <w:rsid w:val="0012116A"/>
    <w:rsid w:val="00123F7E"/>
    <w:rsid w:val="00125131"/>
    <w:rsid w:val="00125C18"/>
    <w:rsid w:val="001311E4"/>
    <w:rsid w:val="001410C1"/>
    <w:rsid w:val="00142523"/>
    <w:rsid w:val="0014370B"/>
    <w:rsid w:val="00143957"/>
    <w:rsid w:val="001449F5"/>
    <w:rsid w:val="0015148C"/>
    <w:rsid w:val="00153679"/>
    <w:rsid w:val="0015653D"/>
    <w:rsid w:val="001568BC"/>
    <w:rsid w:val="00164ED6"/>
    <w:rsid w:val="001658B9"/>
    <w:rsid w:val="0016635B"/>
    <w:rsid w:val="00175CB8"/>
    <w:rsid w:val="001774F4"/>
    <w:rsid w:val="001803C7"/>
    <w:rsid w:val="00190585"/>
    <w:rsid w:val="00195B76"/>
    <w:rsid w:val="00196A4B"/>
    <w:rsid w:val="00197A74"/>
    <w:rsid w:val="001A3F21"/>
    <w:rsid w:val="001C1696"/>
    <w:rsid w:val="001D69A4"/>
    <w:rsid w:val="001E227E"/>
    <w:rsid w:val="001F0F93"/>
    <w:rsid w:val="00213BBD"/>
    <w:rsid w:val="002359F0"/>
    <w:rsid w:val="00237882"/>
    <w:rsid w:val="00243FAA"/>
    <w:rsid w:val="00255D05"/>
    <w:rsid w:val="00265E3B"/>
    <w:rsid w:val="0027272A"/>
    <w:rsid w:val="00277BF2"/>
    <w:rsid w:val="002812FF"/>
    <w:rsid w:val="002867BE"/>
    <w:rsid w:val="002934ED"/>
    <w:rsid w:val="002A77DA"/>
    <w:rsid w:val="002B2AD2"/>
    <w:rsid w:val="002C31C4"/>
    <w:rsid w:val="002C7987"/>
    <w:rsid w:val="002D6B5F"/>
    <w:rsid w:val="002E7C50"/>
    <w:rsid w:val="00302D98"/>
    <w:rsid w:val="00302FE7"/>
    <w:rsid w:val="00315405"/>
    <w:rsid w:val="00322F3E"/>
    <w:rsid w:val="00326AFD"/>
    <w:rsid w:val="00331C5E"/>
    <w:rsid w:val="00342E39"/>
    <w:rsid w:val="0035452F"/>
    <w:rsid w:val="003705AA"/>
    <w:rsid w:val="00371BF3"/>
    <w:rsid w:val="00381F41"/>
    <w:rsid w:val="003864E8"/>
    <w:rsid w:val="003C6781"/>
    <w:rsid w:val="003F234D"/>
    <w:rsid w:val="00416073"/>
    <w:rsid w:val="00436231"/>
    <w:rsid w:val="0043799C"/>
    <w:rsid w:val="004418FB"/>
    <w:rsid w:val="00445E70"/>
    <w:rsid w:val="0045373E"/>
    <w:rsid w:val="00470292"/>
    <w:rsid w:val="0048398B"/>
    <w:rsid w:val="00483C10"/>
    <w:rsid w:val="004872C0"/>
    <w:rsid w:val="004906FF"/>
    <w:rsid w:val="0049607C"/>
    <w:rsid w:val="00497FBD"/>
    <w:rsid w:val="004A394D"/>
    <w:rsid w:val="004B3554"/>
    <w:rsid w:val="004B361D"/>
    <w:rsid w:val="004B4A45"/>
    <w:rsid w:val="004B6A16"/>
    <w:rsid w:val="004C1303"/>
    <w:rsid w:val="004D692B"/>
    <w:rsid w:val="004E2F90"/>
    <w:rsid w:val="00500E43"/>
    <w:rsid w:val="005067E2"/>
    <w:rsid w:val="005279F0"/>
    <w:rsid w:val="0053559C"/>
    <w:rsid w:val="005501B0"/>
    <w:rsid w:val="005513E7"/>
    <w:rsid w:val="005528A9"/>
    <w:rsid w:val="00554C27"/>
    <w:rsid w:val="0058658E"/>
    <w:rsid w:val="005A3752"/>
    <w:rsid w:val="005B2CF0"/>
    <w:rsid w:val="005B6509"/>
    <w:rsid w:val="005E1E78"/>
    <w:rsid w:val="005E7669"/>
    <w:rsid w:val="005F184A"/>
    <w:rsid w:val="005F5A31"/>
    <w:rsid w:val="0062413C"/>
    <w:rsid w:val="0063650B"/>
    <w:rsid w:val="00644D4D"/>
    <w:rsid w:val="0066140C"/>
    <w:rsid w:val="006704B4"/>
    <w:rsid w:val="00670CEB"/>
    <w:rsid w:val="0068027D"/>
    <w:rsid w:val="00682FF1"/>
    <w:rsid w:val="00690EFC"/>
    <w:rsid w:val="006A35B9"/>
    <w:rsid w:val="006A482F"/>
    <w:rsid w:val="006A61A1"/>
    <w:rsid w:val="006A6F2E"/>
    <w:rsid w:val="006B3733"/>
    <w:rsid w:val="006C18D2"/>
    <w:rsid w:val="006C5038"/>
    <w:rsid w:val="006D13AC"/>
    <w:rsid w:val="006D28C7"/>
    <w:rsid w:val="006E1F3E"/>
    <w:rsid w:val="007027F6"/>
    <w:rsid w:val="007111D5"/>
    <w:rsid w:val="00716A4C"/>
    <w:rsid w:val="0073487C"/>
    <w:rsid w:val="00736DEC"/>
    <w:rsid w:val="00750391"/>
    <w:rsid w:val="00753C2D"/>
    <w:rsid w:val="007628ED"/>
    <w:rsid w:val="007650E2"/>
    <w:rsid w:val="007A3852"/>
    <w:rsid w:val="007A67AF"/>
    <w:rsid w:val="007A77E2"/>
    <w:rsid w:val="007A7D67"/>
    <w:rsid w:val="007B2975"/>
    <w:rsid w:val="007B4DC9"/>
    <w:rsid w:val="007C58AE"/>
    <w:rsid w:val="007E3ACD"/>
    <w:rsid w:val="007E5B99"/>
    <w:rsid w:val="008004CC"/>
    <w:rsid w:val="0081015A"/>
    <w:rsid w:val="008259C7"/>
    <w:rsid w:val="00835B23"/>
    <w:rsid w:val="008430BC"/>
    <w:rsid w:val="00850C7C"/>
    <w:rsid w:val="00856994"/>
    <w:rsid w:val="00856D66"/>
    <w:rsid w:val="008576AB"/>
    <w:rsid w:val="00865D06"/>
    <w:rsid w:val="00867C67"/>
    <w:rsid w:val="00871F07"/>
    <w:rsid w:val="00874181"/>
    <w:rsid w:val="00892A4D"/>
    <w:rsid w:val="008940FB"/>
    <w:rsid w:val="00896177"/>
    <w:rsid w:val="008A72E6"/>
    <w:rsid w:val="008B3BB7"/>
    <w:rsid w:val="008B5C34"/>
    <w:rsid w:val="008C291B"/>
    <w:rsid w:val="008D414D"/>
    <w:rsid w:val="008D43EB"/>
    <w:rsid w:val="008D49B9"/>
    <w:rsid w:val="008D7E53"/>
    <w:rsid w:val="008F241D"/>
    <w:rsid w:val="00901E94"/>
    <w:rsid w:val="00902EE5"/>
    <w:rsid w:val="0090468C"/>
    <w:rsid w:val="009132E5"/>
    <w:rsid w:val="00923AB7"/>
    <w:rsid w:val="009507B7"/>
    <w:rsid w:val="0095131C"/>
    <w:rsid w:val="009520C0"/>
    <w:rsid w:val="00960DC2"/>
    <w:rsid w:val="00963146"/>
    <w:rsid w:val="009737D1"/>
    <w:rsid w:val="00980901"/>
    <w:rsid w:val="0098377C"/>
    <w:rsid w:val="0098677E"/>
    <w:rsid w:val="009B0A7F"/>
    <w:rsid w:val="009B6649"/>
    <w:rsid w:val="009C5138"/>
    <w:rsid w:val="009E2F84"/>
    <w:rsid w:val="009E6C6A"/>
    <w:rsid w:val="009F0C65"/>
    <w:rsid w:val="00A04504"/>
    <w:rsid w:val="00A07463"/>
    <w:rsid w:val="00A15772"/>
    <w:rsid w:val="00A23090"/>
    <w:rsid w:val="00A42685"/>
    <w:rsid w:val="00A47221"/>
    <w:rsid w:val="00A478B3"/>
    <w:rsid w:val="00A61FE4"/>
    <w:rsid w:val="00A62927"/>
    <w:rsid w:val="00A65925"/>
    <w:rsid w:val="00A71229"/>
    <w:rsid w:val="00A81FE4"/>
    <w:rsid w:val="00A96E6D"/>
    <w:rsid w:val="00AA257F"/>
    <w:rsid w:val="00AC5523"/>
    <w:rsid w:val="00AC6A2C"/>
    <w:rsid w:val="00AD2944"/>
    <w:rsid w:val="00AF10CE"/>
    <w:rsid w:val="00B226F2"/>
    <w:rsid w:val="00B27C37"/>
    <w:rsid w:val="00B42E12"/>
    <w:rsid w:val="00B5246F"/>
    <w:rsid w:val="00B52997"/>
    <w:rsid w:val="00B61D7B"/>
    <w:rsid w:val="00B61FF3"/>
    <w:rsid w:val="00B623E7"/>
    <w:rsid w:val="00B66C63"/>
    <w:rsid w:val="00B671F9"/>
    <w:rsid w:val="00B7203D"/>
    <w:rsid w:val="00B82352"/>
    <w:rsid w:val="00B85C56"/>
    <w:rsid w:val="00B94257"/>
    <w:rsid w:val="00BA1344"/>
    <w:rsid w:val="00BD2FA9"/>
    <w:rsid w:val="00BE7FE6"/>
    <w:rsid w:val="00BF4C69"/>
    <w:rsid w:val="00C153F3"/>
    <w:rsid w:val="00C2033F"/>
    <w:rsid w:val="00C32902"/>
    <w:rsid w:val="00C3560F"/>
    <w:rsid w:val="00C35A91"/>
    <w:rsid w:val="00C36867"/>
    <w:rsid w:val="00C37155"/>
    <w:rsid w:val="00C37379"/>
    <w:rsid w:val="00C40604"/>
    <w:rsid w:val="00C40B19"/>
    <w:rsid w:val="00C53AFA"/>
    <w:rsid w:val="00C54A25"/>
    <w:rsid w:val="00C54C7F"/>
    <w:rsid w:val="00C55BA6"/>
    <w:rsid w:val="00C668FB"/>
    <w:rsid w:val="00C67F66"/>
    <w:rsid w:val="00C7197D"/>
    <w:rsid w:val="00C82A14"/>
    <w:rsid w:val="00C83094"/>
    <w:rsid w:val="00CA5439"/>
    <w:rsid w:val="00CB16DC"/>
    <w:rsid w:val="00CB1CE3"/>
    <w:rsid w:val="00CD35FA"/>
    <w:rsid w:val="00CE2307"/>
    <w:rsid w:val="00CF1B05"/>
    <w:rsid w:val="00D00F74"/>
    <w:rsid w:val="00D0284B"/>
    <w:rsid w:val="00D0342F"/>
    <w:rsid w:val="00D05B30"/>
    <w:rsid w:val="00D11739"/>
    <w:rsid w:val="00D15D9F"/>
    <w:rsid w:val="00D247A0"/>
    <w:rsid w:val="00D2588A"/>
    <w:rsid w:val="00D43B93"/>
    <w:rsid w:val="00D453C7"/>
    <w:rsid w:val="00D6321F"/>
    <w:rsid w:val="00D71613"/>
    <w:rsid w:val="00D82346"/>
    <w:rsid w:val="00D83374"/>
    <w:rsid w:val="00D9575F"/>
    <w:rsid w:val="00DA063C"/>
    <w:rsid w:val="00DA094D"/>
    <w:rsid w:val="00DB1028"/>
    <w:rsid w:val="00DF6BEF"/>
    <w:rsid w:val="00E04D4D"/>
    <w:rsid w:val="00E23BC7"/>
    <w:rsid w:val="00E26F14"/>
    <w:rsid w:val="00E33378"/>
    <w:rsid w:val="00E36DE3"/>
    <w:rsid w:val="00E449BF"/>
    <w:rsid w:val="00E460F2"/>
    <w:rsid w:val="00E474BA"/>
    <w:rsid w:val="00E71750"/>
    <w:rsid w:val="00E73667"/>
    <w:rsid w:val="00E73970"/>
    <w:rsid w:val="00E80365"/>
    <w:rsid w:val="00E8323E"/>
    <w:rsid w:val="00EA317E"/>
    <w:rsid w:val="00EA5554"/>
    <w:rsid w:val="00EB6304"/>
    <w:rsid w:val="00EB6524"/>
    <w:rsid w:val="00EC198E"/>
    <w:rsid w:val="00EC749F"/>
    <w:rsid w:val="00ED24E4"/>
    <w:rsid w:val="00EF4490"/>
    <w:rsid w:val="00F0556F"/>
    <w:rsid w:val="00F14FA7"/>
    <w:rsid w:val="00F3329D"/>
    <w:rsid w:val="00F5361D"/>
    <w:rsid w:val="00F71D2C"/>
    <w:rsid w:val="00F821A2"/>
    <w:rsid w:val="00F915CC"/>
    <w:rsid w:val="00F923BF"/>
    <w:rsid w:val="00FA0A6B"/>
    <w:rsid w:val="00FA3B12"/>
    <w:rsid w:val="00FA7A8E"/>
    <w:rsid w:val="00FB0577"/>
    <w:rsid w:val="00FC5A12"/>
    <w:rsid w:val="00FF0132"/>
    <w:rsid w:val="00FF4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098C122"/>
  <w15:chartTrackingRefBased/>
  <w15:docId w15:val="{EC079AE8-AE2C-D248-A9F5-88E0E272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A3752"/>
  </w:style>
  <w:style w:type="paragraph" w:styleId="Heading1">
    <w:name w:val="heading 1"/>
    <w:basedOn w:val="Normal"/>
    <w:next w:val="Normal"/>
    <w:link w:val="Heading1Char"/>
    <w:uiPriority w:val="9"/>
    <w:qFormat/>
    <w:rsid w:val="00322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B4069"/>
    <w:pPr>
      <w:numPr>
        <w:numId w:val="1"/>
      </w:numPr>
    </w:pPr>
  </w:style>
  <w:style w:type="character" w:customStyle="1" w:styleId="Heading1Char">
    <w:name w:val="Heading 1 Char"/>
    <w:basedOn w:val="DefaultParagraphFont"/>
    <w:link w:val="Heading1"/>
    <w:uiPriority w:val="9"/>
    <w:rsid w:val="00322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F3E"/>
    <w:rPr>
      <w:rFonts w:eastAsiaTheme="majorEastAsia" w:cstheme="majorBidi"/>
      <w:color w:val="272727" w:themeColor="text1" w:themeTint="D8"/>
    </w:rPr>
  </w:style>
  <w:style w:type="paragraph" w:styleId="Title">
    <w:name w:val="Title"/>
    <w:basedOn w:val="Normal"/>
    <w:next w:val="Normal"/>
    <w:link w:val="TitleChar"/>
    <w:uiPriority w:val="10"/>
    <w:qFormat/>
    <w:rsid w:val="00322F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F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F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F3E"/>
    <w:rPr>
      <w:i/>
      <w:iCs/>
      <w:color w:val="404040" w:themeColor="text1" w:themeTint="BF"/>
    </w:rPr>
  </w:style>
  <w:style w:type="paragraph" w:styleId="ListParagraph">
    <w:name w:val="List Paragraph"/>
    <w:basedOn w:val="Normal"/>
    <w:uiPriority w:val="34"/>
    <w:qFormat/>
    <w:rsid w:val="00322F3E"/>
    <w:pPr>
      <w:ind w:left="720"/>
      <w:contextualSpacing/>
    </w:pPr>
  </w:style>
  <w:style w:type="character" w:styleId="IntenseEmphasis">
    <w:name w:val="Intense Emphasis"/>
    <w:basedOn w:val="DefaultParagraphFont"/>
    <w:uiPriority w:val="21"/>
    <w:qFormat/>
    <w:rsid w:val="00322F3E"/>
    <w:rPr>
      <w:i/>
      <w:iCs/>
      <w:color w:val="0F4761" w:themeColor="accent1" w:themeShade="BF"/>
    </w:rPr>
  </w:style>
  <w:style w:type="paragraph" w:styleId="IntenseQuote">
    <w:name w:val="Intense Quote"/>
    <w:basedOn w:val="Normal"/>
    <w:next w:val="Normal"/>
    <w:link w:val="IntenseQuoteChar"/>
    <w:uiPriority w:val="30"/>
    <w:qFormat/>
    <w:rsid w:val="0032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F3E"/>
    <w:rPr>
      <w:i/>
      <w:iCs/>
      <w:color w:val="0F4761" w:themeColor="accent1" w:themeShade="BF"/>
    </w:rPr>
  </w:style>
  <w:style w:type="character" w:styleId="IntenseReference">
    <w:name w:val="Intense Reference"/>
    <w:basedOn w:val="DefaultParagraphFont"/>
    <w:uiPriority w:val="32"/>
    <w:qFormat/>
    <w:rsid w:val="00322F3E"/>
    <w:rPr>
      <w:b/>
      <w:bCs/>
      <w:smallCaps/>
      <w:color w:val="0F4761" w:themeColor="accent1" w:themeShade="BF"/>
      <w:spacing w:val="5"/>
    </w:rPr>
  </w:style>
  <w:style w:type="character" w:styleId="CommentReference">
    <w:name w:val="annotation reference"/>
    <w:basedOn w:val="DefaultParagraphFont"/>
    <w:uiPriority w:val="99"/>
    <w:semiHidden/>
    <w:unhideWhenUsed/>
    <w:rsid w:val="00F14FA7"/>
    <w:rPr>
      <w:sz w:val="16"/>
      <w:szCs w:val="16"/>
    </w:rPr>
  </w:style>
  <w:style w:type="paragraph" w:styleId="CommentText">
    <w:name w:val="annotation text"/>
    <w:basedOn w:val="Normal"/>
    <w:link w:val="CommentTextChar"/>
    <w:uiPriority w:val="99"/>
    <w:unhideWhenUsed/>
    <w:rsid w:val="00F14FA7"/>
    <w:rPr>
      <w:sz w:val="20"/>
      <w:szCs w:val="20"/>
    </w:rPr>
  </w:style>
  <w:style w:type="character" w:customStyle="1" w:styleId="CommentTextChar">
    <w:name w:val="Comment Text Char"/>
    <w:basedOn w:val="DefaultParagraphFont"/>
    <w:link w:val="CommentText"/>
    <w:uiPriority w:val="99"/>
    <w:rsid w:val="00F14FA7"/>
    <w:rPr>
      <w:sz w:val="20"/>
      <w:szCs w:val="20"/>
    </w:rPr>
  </w:style>
  <w:style w:type="paragraph" w:styleId="CommentSubject">
    <w:name w:val="annotation subject"/>
    <w:basedOn w:val="CommentText"/>
    <w:next w:val="CommentText"/>
    <w:link w:val="CommentSubjectChar"/>
    <w:uiPriority w:val="99"/>
    <w:semiHidden/>
    <w:unhideWhenUsed/>
    <w:rsid w:val="00E474BA"/>
    <w:rPr>
      <w:b/>
      <w:bCs/>
    </w:rPr>
  </w:style>
  <w:style w:type="character" w:customStyle="1" w:styleId="CommentSubjectChar">
    <w:name w:val="Comment Subject Char"/>
    <w:basedOn w:val="CommentTextChar"/>
    <w:link w:val="CommentSubject"/>
    <w:uiPriority w:val="99"/>
    <w:semiHidden/>
    <w:rsid w:val="00E474BA"/>
    <w:rPr>
      <w:b/>
      <w:bCs/>
      <w:sz w:val="20"/>
      <w:szCs w:val="20"/>
    </w:rPr>
  </w:style>
  <w:style w:type="paragraph" w:styleId="Bibliography">
    <w:name w:val="Bibliography"/>
    <w:basedOn w:val="Normal"/>
    <w:next w:val="Normal"/>
    <w:uiPriority w:val="37"/>
    <w:unhideWhenUsed/>
    <w:rsid w:val="00315405"/>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137470">
      <w:bodyDiv w:val="1"/>
      <w:marLeft w:val="0"/>
      <w:marRight w:val="0"/>
      <w:marTop w:val="0"/>
      <w:marBottom w:val="0"/>
      <w:divBdr>
        <w:top w:val="none" w:sz="0" w:space="0" w:color="auto"/>
        <w:left w:val="none" w:sz="0" w:space="0" w:color="auto"/>
        <w:bottom w:val="none" w:sz="0" w:space="0" w:color="auto"/>
        <w:right w:val="none" w:sz="0" w:space="0" w:color="auto"/>
      </w:divBdr>
    </w:div>
    <w:div w:id="1377193934">
      <w:bodyDiv w:val="1"/>
      <w:marLeft w:val="0"/>
      <w:marRight w:val="0"/>
      <w:marTop w:val="0"/>
      <w:marBottom w:val="0"/>
      <w:divBdr>
        <w:top w:val="none" w:sz="0" w:space="0" w:color="auto"/>
        <w:left w:val="none" w:sz="0" w:space="0" w:color="auto"/>
        <w:bottom w:val="none" w:sz="0" w:space="0" w:color="auto"/>
        <w:right w:val="none" w:sz="0" w:space="0" w:color="auto"/>
      </w:divBdr>
    </w:div>
    <w:div w:id="1532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6504</Words>
  <Characters>37073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Anderson-Bell</dc:creator>
  <cp:keywords/>
  <dc:description/>
  <cp:lastModifiedBy>Brian Locke</cp:lastModifiedBy>
  <cp:revision>2</cp:revision>
  <dcterms:created xsi:type="dcterms:W3CDTF">2025-12-24T00:27:00Z</dcterms:created>
  <dcterms:modified xsi:type="dcterms:W3CDTF">2025-12-24T00:27:00Z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id="zQCYzjMw"/&gt;&lt;style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