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C9CF8" w14:textId="167D13FD" w:rsidR="007B4468" w:rsidRPr="007F566A" w:rsidRDefault="007B4468" w:rsidP="007B4468">
      <w:pPr>
        <w:rPr>
          <w:b/>
          <w:bCs/>
        </w:rPr>
      </w:pPr>
      <w:r w:rsidRPr="007F566A">
        <w:rPr>
          <w:b/>
          <w:bCs/>
        </w:rPr>
        <w:t>Transcutaneous CO</w:t>
      </w:r>
      <w:r w:rsidRPr="007F566A">
        <w:rPr>
          <w:b/>
          <w:bCs/>
          <w:vertAlign w:val="subscript"/>
        </w:rPr>
        <w:t>2</w:t>
      </w:r>
      <w:r w:rsidRPr="007F566A">
        <w:rPr>
          <w:b/>
          <w:bCs/>
        </w:rPr>
        <w:t xml:space="preserve"> Sensors</w:t>
      </w:r>
      <w:r w:rsidR="00EB7A4A">
        <w:rPr>
          <w:b/>
          <w:bCs/>
        </w:rPr>
        <w:t xml:space="preserve"> Perform Well</w:t>
      </w:r>
      <w:r w:rsidRPr="007F566A">
        <w:rPr>
          <w:b/>
          <w:bCs/>
        </w:rPr>
        <w:t xml:space="preserve"> </w:t>
      </w:r>
      <w:r w:rsidR="00EB7A4A">
        <w:rPr>
          <w:b/>
          <w:bCs/>
        </w:rPr>
        <w:t>in</w:t>
      </w:r>
      <w:r w:rsidRPr="007F566A">
        <w:rPr>
          <w:b/>
          <w:bCs/>
        </w:rPr>
        <w:t xml:space="preserve"> Detecting Hypercapnia in </w:t>
      </w:r>
      <w:r w:rsidR="00AB35FD">
        <w:rPr>
          <w:b/>
          <w:bCs/>
        </w:rPr>
        <w:t>a variety of settings</w:t>
      </w:r>
      <w:r w:rsidR="00EB7A4A">
        <w:rPr>
          <w:b/>
          <w:bCs/>
        </w:rPr>
        <w:t>, an In-Silico Simulation.</w:t>
      </w:r>
    </w:p>
    <w:p w14:paraId="7B0EB58D" w14:textId="77777777" w:rsidR="007B4468" w:rsidRDefault="007B4468" w:rsidP="007B4468"/>
    <w:p w14:paraId="7E57CBCB" w14:textId="77777777" w:rsidR="007B4468" w:rsidRDefault="007B4468" w:rsidP="007B4468">
      <w:r>
        <w:t>This work is supported by grants from the American Thoracic Society (ASPIRE fellowship), the Intermountain Fund, and the National Institutes of Health (</w:t>
      </w:r>
      <w:r w:rsidRPr="00B30BFC">
        <w:t xml:space="preserve">Ruth L. </w:t>
      </w:r>
      <w:proofErr w:type="spellStart"/>
      <w:r w:rsidRPr="00B30BFC">
        <w:t>Kirschstein</w:t>
      </w:r>
      <w:proofErr w:type="spellEnd"/>
      <w:r w:rsidRPr="00B30BFC">
        <w:t xml:space="preserve"> National Research Service Award 5T32HL105321</w:t>
      </w:r>
      <w:r>
        <w:t xml:space="preserve"> and </w:t>
      </w:r>
      <w:r w:rsidRPr="00154DF7">
        <w:t>National Center for Advancing Translational Sciences</w:t>
      </w:r>
      <w:r>
        <w:t xml:space="preserve"> Award </w:t>
      </w:r>
      <w:commentRangeStart w:id="0"/>
      <w:r w:rsidRPr="00154DF7">
        <w:t>UM1TR004409</w:t>
      </w:r>
      <w:commentRangeEnd w:id="0"/>
      <w:r>
        <w:rPr>
          <w:rStyle w:val="CommentReference"/>
        </w:rPr>
        <w:commentReference w:id="0"/>
      </w:r>
      <w:r>
        <w:t>)</w:t>
      </w:r>
    </w:p>
    <w:p w14:paraId="09322868" w14:textId="77777777" w:rsidR="007B4468" w:rsidRDefault="007B4468" w:rsidP="007B4468"/>
    <w:p w14:paraId="6444C26B" w14:textId="77777777" w:rsidR="007B4468" w:rsidRPr="00F70102" w:rsidRDefault="007B4468" w:rsidP="007B4468">
      <w:pPr>
        <w:rPr>
          <w:b/>
          <w:bCs/>
        </w:rPr>
      </w:pPr>
      <w:r w:rsidRPr="00F70102">
        <w:rPr>
          <w:b/>
          <w:bCs/>
        </w:rPr>
        <w:t xml:space="preserve">Introduction: </w:t>
      </w:r>
    </w:p>
    <w:p w14:paraId="1C63F0C3" w14:textId="434FF20F" w:rsidR="001D6EE8" w:rsidRDefault="000212A4" w:rsidP="007B4468">
      <w:r>
        <w:t xml:space="preserve">Although hypercapnic respiratory failure is a widespread problem, the diagnostic gold standard of arterial sampling has significant drawbacks to regular performance such as pain and complications such as arterial injury and thrombosis. We have previously reported on the accuracy of transcutaneous CO2 monitoring (TcCO2) compared to partial pressure of arterial CO2 (PaCO2) in newly admitted hospitalized adults. </w:t>
      </w:r>
      <w:r w:rsidR="001D6EE8">
        <w:t>However, given important physiologic settings between different clinical settings, we aim in the current study to evaluate the differential test characteristics between the outpatient setting, the emergency department/inpatient wards, and the ICU.</w:t>
      </w:r>
    </w:p>
    <w:p w14:paraId="7E22AD57" w14:textId="77777777" w:rsidR="007B4468" w:rsidRDefault="007B4468" w:rsidP="007B4468"/>
    <w:p w14:paraId="1360D9BF" w14:textId="77777777" w:rsidR="007B4468" w:rsidRPr="00F70102" w:rsidRDefault="007B4468" w:rsidP="007B4468">
      <w:pPr>
        <w:rPr>
          <w:b/>
          <w:bCs/>
        </w:rPr>
      </w:pPr>
      <w:r w:rsidRPr="00F70102">
        <w:rPr>
          <w:b/>
          <w:bCs/>
        </w:rPr>
        <w:t xml:space="preserve">Methods: </w:t>
      </w:r>
    </w:p>
    <w:p w14:paraId="058E2086" w14:textId="1DDD714A" w:rsidR="007B4468" w:rsidRDefault="000212A4" w:rsidP="007B4468">
      <w:r>
        <w:t xml:space="preserve">The </w:t>
      </w:r>
      <w:proofErr w:type="spellStart"/>
      <w:r>
        <w:t>TriNetX</w:t>
      </w:r>
      <w:proofErr w:type="spellEnd"/>
      <w:r>
        <w:t xml:space="preserve"> database of aggregate electronic health record data from 76 medical centers across the United States was accessed for all encounters in which a PaCO2 was obtained. </w:t>
      </w:r>
      <w:r w:rsidR="009666E7">
        <w:t xml:space="preserve">We then simulated corresponding TcCO2 readings using results from </w:t>
      </w:r>
      <w:r>
        <w:t xml:space="preserve">a meta-analysis by Conway et al. (Thorax, 2017) wherein a mean bias of TcCO2 compared to PaCO2, along with variables of uncertainty (within- and inter-population disagreement) were reported within setting subgroups of </w:t>
      </w:r>
      <w:r w:rsidR="00E871B8">
        <w:t xml:space="preserve">the ambulatory pulmonary function test unit, </w:t>
      </w:r>
      <w:r>
        <w:t xml:space="preserve">emergency </w:t>
      </w:r>
      <w:r w:rsidR="00E871B8">
        <w:t xml:space="preserve">department </w:t>
      </w:r>
      <w:r>
        <w:t xml:space="preserve">and inpatient wards, </w:t>
      </w:r>
      <w:r w:rsidR="00E871B8">
        <w:t xml:space="preserve">and </w:t>
      </w:r>
      <w:r>
        <w:t>intensive care unit</w:t>
      </w:r>
      <w:r w:rsidR="009666E7">
        <w:t xml:space="preserve">. </w:t>
      </w:r>
      <w:r w:rsidR="007B4468">
        <w:t>Results were classified as true negatives (PaCO</w:t>
      </w:r>
      <w:r w:rsidR="007B4468" w:rsidRPr="0038609B">
        <w:rPr>
          <w:vertAlign w:val="subscript"/>
        </w:rPr>
        <w:t>2</w:t>
      </w:r>
      <w:r w:rsidR="007B4468">
        <w:t xml:space="preserve"> and TcCO</w:t>
      </w:r>
      <w:r w:rsidR="007B4468" w:rsidRPr="0038609B">
        <w:rPr>
          <w:vertAlign w:val="subscript"/>
        </w:rPr>
        <w:t>2</w:t>
      </w:r>
      <w:r w:rsidR="007B4468">
        <w:t xml:space="preserve"> &lt; 45mmHg),</w:t>
      </w:r>
      <w:r w:rsidR="007B4468" w:rsidRPr="00C5197E">
        <w:t xml:space="preserve"> </w:t>
      </w:r>
      <w:r w:rsidR="007B4468">
        <w:t xml:space="preserve">false positives (PaCO2 &lt; 45mmHg, TcCO2 </w:t>
      </w:r>
      <w:r w:rsidR="007B4468" w:rsidRPr="0038609B">
        <w:t>≥</w:t>
      </w:r>
      <w:r w:rsidR="007B4468">
        <w:t xml:space="preserve"> 45mmHg), true positives (PaCO2 and TcCO</w:t>
      </w:r>
      <w:r w:rsidR="007B4468" w:rsidRPr="0038609B">
        <w:rPr>
          <w:vertAlign w:val="subscript"/>
        </w:rPr>
        <w:t>2</w:t>
      </w:r>
      <w:r w:rsidR="007B4468">
        <w:t xml:space="preserve"> </w:t>
      </w:r>
      <w:r w:rsidR="007B4468" w:rsidRPr="0038609B">
        <w:t>≥</w:t>
      </w:r>
      <w:r w:rsidR="007B4468">
        <w:t xml:space="preserve"> 45mmHg), or false negatives (PaCO</w:t>
      </w:r>
      <w:r w:rsidR="007B4468" w:rsidRPr="0038609B">
        <w:rPr>
          <w:vertAlign w:val="subscript"/>
        </w:rPr>
        <w:t>2</w:t>
      </w:r>
      <w:r w:rsidR="007B4468">
        <w:t xml:space="preserve"> </w:t>
      </w:r>
      <w:r w:rsidR="007B4468" w:rsidRPr="0038609B">
        <w:t>≥</w:t>
      </w:r>
      <w:r w:rsidR="007B4468">
        <w:t xml:space="preserve"> 45mmHg, TcCO</w:t>
      </w:r>
      <w:r w:rsidR="007B4468" w:rsidRPr="0038609B">
        <w:rPr>
          <w:vertAlign w:val="subscript"/>
        </w:rPr>
        <w:t>2</w:t>
      </w:r>
      <w:r w:rsidR="007B4468">
        <w:t xml:space="preserve"> &lt; 45mmHg)</w:t>
      </w:r>
      <w:r w:rsidR="00F82468">
        <w:t>.</w:t>
      </w:r>
    </w:p>
    <w:p w14:paraId="388267A2" w14:textId="77777777" w:rsidR="007B4468" w:rsidRDefault="007B4468" w:rsidP="007B4468"/>
    <w:p w14:paraId="7DCE791B" w14:textId="77777777" w:rsidR="007B4468" w:rsidRPr="0038609B" w:rsidRDefault="007B4468" w:rsidP="007B4468">
      <w:pPr>
        <w:rPr>
          <w:b/>
          <w:bCs/>
        </w:rPr>
      </w:pPr>
      <w:r w:rsidRPr="0038609B">
        <w:rPr>
          <w:b/>
          <w:bCs/>
        </w:rPr>
        <w:t xml:space="preserve">Results: </w:t>
      </w:r>
    </w:p>
    <w:p w14:paraId="7508F70B" w14:textId="2C6865FA" w:rsidR="007B4468" w:rsidRDefault="007B4468" w:rsidP="007B4468">
      <w:r w:rsidRPr="00F70102">
        <w:t>1</w:t>
      </w:r>
      <w:r w:rsidR="00402625">
        <w:t xml:space="preserve">97,698 </w:t>
      </w:r>
      <w:r>
        <w:t xml:space="preserve">ABGs were included </w:t>
      </w:r>
      <w:r w:rsidR="00402625">
        <w:t>across all clinical settings</w:t>
      </w:r>
      <w:r w:rsidR="003A4A36">
        <w:t xml:space="preserve"> (</w:t>
      </w:r>
      <w:r w:rsidR="00402625">
        <w:t>120,526 in the emergency/inpatient wards, 66,704 in the ICU, and 10,456 in the PFT clinic</w:t>
      </w:r>
      <w:r w:rsidR="003A4A36">
        <w:t>)</w:t>
      </w:r>
      <w:r w:rsidR="00402625">
        <w:t>.</w:t>
      </w:r>
      <w:r w:rsidR="00877111">
        <w:t xml:space="preserve"> </w:t>
      </w:r>
      <w:r w:rsidR="00A1400C">
        <w:t xml:space="preserve">Median age was 61 years (IQR 45, 72). </w:t>
      </w:r>
      <w:r w:rsidR="00877111">
        <w:t>Mean PaCO2 ranged from 41.0 – 43.7 depending on setting</w:t>
      </w:r>
      <w:r w:rsidR="00BE6604">
        <w:t xml:space="preserve"> with</w:t>
      </w:r>
      <w:r w:rsidR="00C44EAC">
        <w:t xml:space="preserve"> a</w:t>
      </w:r>
      <w:r w:rsidR="00BE6604">
        <w:t xml:space="preserve"> </w:t>
      </w:r>
      <w:r w:rsidR="00C44EAC">
        <w:t xml:space="preserve">prevalence of hypercapnia spanning </w:t>
      </w:r>
      <w:r w:rsidR="00826055">
        <w:t>25.4</w:t>
      </w:r>
      <w:r w:rsidR="00C44EAC">
        <w:t xml:space="preserve">%-31.7%. </w:t>
      </w:r>
      <w:r w:rsidRPr="00E30EC7">
        <w:t>Simulated TcCO2 measurements yield</w:t>
      </w:r>
      <w:r>
        <w:t>ed</w:t>
      </w:r>
      <w:r w:rsidRPr="00E30EC7">
        <w:t xml:space="preserve"> </w:t>
      </w:r>
      <w:r>
        <w:t>the following operating</w:t>
      </w:r>
      <w:r w:rsidRPr="00E30EC7">
        <w:t xml:space="preserve"> characteristic</w:t>
      </w:r>
      <w:r>
        <w:t xml:space="preserve"> estimates: </w:t>
      </w:r>
      <w:r w:rsidRPr="00E30EC7">
        <w:t xml:space="preserve">sensitivity </w:t>
      </w:r>
      <w:r w:rsidR="0088104B">
        <w:t>7</w:t>
      </w:r>
      <w:r w:rsidR="005A0E2F">
        <w:t>8.6</w:t>
      </w:r>
      <w:r w:rsidRPr="00E30EC7">
        <w:t>%</w:t>
      </w:r>
      <w:r w:rsidR="0088104B">
        <w:t>-93.6%</w:t>
      </w:r>
      <w:r w:rsidRPr="00E30EC7">
        <w:t xml:space="preserve">, specificity </w:t>
      </w:r>
      <w:r w:rsidR="0088104B">
        <w:t>94.7%-</w:t>
      </w:r>
      <w:r w:rsidRPr="00270D22">
        <w:t>9</w:t>
      </w:r>
      <w:r w:rsidR="005A0E2F">
        <w:t>8.0</w:t>
      </w:r>
      <w:r w:rsidRPr="00E30EC7">
        <w:t>%, negative predictive value</w:t>
      </w:r>
      <w:r w:rsidRPr="00270D22">
        <w:t xml:space="preserve"> </w:t>
      </w:r>
      <w:r w:rsidR="001D120E">
        <w:t>91.3</w:t>
      </w:r>
      <w:r w:rsidR="0088104B">
        <w:t>%-97.0</w:t>
      </w:r>
      <w:r w:rsidRPr="00E30EC7">
        <w:t xml:space="preserve">%, and positive predictive value </w:t>
      </w:r>
      <w:r w:rsidRPr="00270D22">
        <w:t>8</w:t>
      </w:r>
      <w:r w:rsidR="0088104B">
        <w:t>7.6</w:t>
      </w:r>
      <w:r w:rsidRPr="00E30EC7">
        <w:t>%</w:t>
      </w:r>
      <w:r w:rsidR="0088104B">
        <w:t>-9</w:t>
      </w:r>
      <w:r w:rsidR="00BE74F9">
        <w:t>4.4</w:t>
      </w:r>
      <w:r w:rsidR="0088104B">
        <w:t>%</w:t>
      </w:r>
      <w:r w:rsidRPr="00E30EC7">
        <w:t>.</w:t>
      </w:r>
      <w:r>
        <w:t xml:space="preserve"> </w:t>
      </w:r>
      <w:r w:rsidR="00C64FBF">
        <w:t xml:space="preserve">The greatest false negative rate was </w:t>
      </w:r>
      <w:r w:rsidR="005A0E2F">
        <w:t>6.39</w:t>
      </w:r>
      <w:r w:rsidR="00C64FBF">
        <w:t>% in the emergency/inpatient population and the greatest false positive rate was 3.49% in the ICU population.</w:t>
      </w:r>
    </w:p>
    <w:p w14:paraId="73FA52F6" w14:textId="77777777" w:rsidR="007B4468" w:rsidRDefault="007B4468" w:rsidP="007B4468"/>
    <w:p w14:paraId="654D8BD8" w14:textId="77777777" w:rsidR="007B4468" w:rsidRPr="0038609B" w:rsidRDefault="007B4468" w:rsidP="007B4468">
      <w:pPr>
        <w:rPr>
          <w:b/>
          <w:bCs/>
        </w:rPr>
      </w:pPr>
      <w:r w:rsidRPr="0038609B">
        <w:rPr>
          <w:b/>
          <w:bCs/>
        </w:rPr>
        <w:t xml:space="preserve">Conclusions: </w:t>
      </w:r>
    </w:p>
    <w:p w14:paraId="32AFBCD5" w14:textId="2C1D9353" w:rsidR="007B4468" w:rsidRDefault="007B4468" w:rsidP="007B4468">
      <w:r>
        <w:t xml:space="preserve">Our </w:t>
      </w:r>
      <w:r w:rsidR="00A27F19">
        <w:t xml:space="preserve">current </w:t>
      </w:r>
      <w:r>
        <w:t xml:space="preserve">simulation </w:t>
      </w:r>
      <w:r w:rsidR="00A27F19">
        <w:t xml:space="preserve">suggests </w:t>
      </w:r>
      <w:r w:rsidR="00134B3E">
        <w:t>that the</w:t>
      </w:r>
      <w:r w:rsidR="00A27F19">
        <w:t xml:space="preserve"> high degree of accuracy</w:t>
      </w:r>
      <w:r w:rsidR="00090414">
        <w:t xml:space="preserve"> in TcCO2</w:t>
      </w:r>
      <w:r w:rsidR="00A27F19">
        <w:t xml:space="preserve"> for binary assessment of hypercapnia </w:t>
      </w:r>
      <w:r w:rsidR="00134B3E">
        <w:t xml:space="preserve">is preserved </w:t>
      </w:r>
      <w:r w:rsidR="00A27F19">
        <w:t>across multiple different clinical settings</w:t>
      </w:r>
      <w:r w:rsidR="00090414">
        <w:t xml:space="preserve">. </w:t>
      </w:r>
      <w:r w:rsidR="00A27F19">
        <w:t xml:space="preserve">The greatest amount of inaccuracy was in the false negative rate </w:t>
      </w:r>
      <w:r w:rsidR="00994F74">
        <w:t xml:space="preserve">for emergency and non-ICU </w:t>
      </w:r>
      <w:r w:rsidR="00994F74">
        <w:lastRenderedPageBreak/>
        <w:t>inpatients.</w:t>
      </w:r>
      <w:r w:rsidR="00875B55">
        <w:t xml:space="preserve"> </w:t>
      </w:r>
      <w:r w:rsidR="002B5677">
        <w:t>L</w:t>
      </w:r>
      <w:r w:rsidR="00875B55">
        <w:t>imitation</w:t>
      </w:r>
      <w:r w:rsidR="002B5677">
        <w:t>s</w:t>
      </w:r>
      <w:r w:rsidR="00875B55">
        <w:t xml:space="preserve"> to this work </w:t>
      </w:r>
      <w:r w:rsidR="002B5677">
        <w:t xml:space="preserve">include </w:t>
      </w:r>
      <w:r w:rsidR="00875B55">
        <w:t xml:space="preserve">that patients who </w:t>
      </w:r>
      <w:r w:rsidR="00D231AD">
        <w:t>have sampling of their PaCO2 may have more extreme derangements than those who do not undergo sampling</w:t>
      </w:r>
      <w:r w:rsidR="002B5677">
        <w:t xml:space="preserve"> as well as the inability to separate emergency patients from non-ICU hospitalized patients given the nature of the data available from the meta-analysis</w:t>
      </w:r>
      <w:r w:rsidR="00505579">
        <w:t xml:space="preserve"> used</w:t>
      </w:r>
      <w:r w:rsidR="002B5677">
        <w:t>.</w:t>
      </w:r>
    </w:p>
    <w:p w14:paraId="5EEA2737" w14:textId="77777777" w:rsidR="000F7DCF" w:rsidRDefault="000F7DCF" w:rsidP="007B4468"/>
    <w:p w14:paraId="6D3AE491" w14:textId="14869A10" w:rsidR="007B4468" w:rsidRDefault="000F7DCF" w:rsidP="007B4468">
      <w:r w:rsidRPr="000F7DCF">
        <w:rPr>
          <w:b/>
          <w:bCs/>
        </w:rPr>
        <w:t>Clinical Implications</w:t>
      </w:r>
      <w:r>
        <w:rPr>
          <w:b/>
          <w:bCs/>
        </w:rPr>
        <w:t>:</w:t>
      </w:r>
    </w:p>
    <w:p w14:paraId="11B91B67" w14:textId="73FEA05E" w:rsidR="000F7DCF" w:rsidRPr="000F7DCF" w:rsidRDefault="000F7DCF" w:rsidP="007B4468">
      <w:r>
        <w:t xml:space="preserve">Our current findings suggest that TcCO2 may have a role in detection of clinically significant hypercapnia across multiple clinical settings. </w:t>
      </w:r>
      <w:r w:rsidR="00E870BB">
        <w:t>However, appropriate next steps would be a larger clinical trial with randomization to assess consistency of findings in the absence of significant selection bias.</w:t>
      </w:r>
    </w:p>
    <w:p w14:paraId="15EF98A0" w14:textId="77777777" w:rsidR="00DA063C" w:rsidRDefault="00DA063C"/>
    <w:sectPr w:rsidR="00DA063C" w:rsidSect="003864E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mkiran Gouripeddi" w:date="2024-11-04T18:04:00Z" w:initials="RG">
    <w:p w14:paraId="4974ACDC" w14:textId="77777777" w:rsidR="007B4468" w:rsidRDefault="007B4468" w:rsidP="007B4468">
      <w:pPr>
        <w:pStyle w:val="CommentText"/>
      </w:pPr>
      <w:r>
        <w:rPr>
          <w:rStyle w:val="CommentReference"/>
        </w:rPr>
        <w:annotationRef/>
      </w:r>
      <w:r>
        <w:t>Funds our TriNetX participation, my time, and will be something Sam Brown can show for IHC’s participation in Utah CTSI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74ACD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AE2830" w16cex:dateUtc="2024-11-05T01: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74ACDC" w16cid:durableId="6AAE283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7F0F40"/>
    <w:multiLevelType w:val="multilevel"/>
    <w:tmpl w:val="0409001D"/>
    <w:styleLink w:val="Style1"/>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46859946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mkiran Gouripeddi">
    <w15:presenceInfo w15:providerId="AD" w15:userId="S::u0741833@umail.utah.edu::0823507f-ae57-44a6-ac1a-0e8f9466b3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468"/>
    <w:rsid w:val="000212A4"/>
    <w:rsid w:val="00032E42"/>
    <w:rsid w:val="00090414"/>
    <w:rsid w:val="000B4069"/>
    <w:rsid w:val="000F7DCF"/>
    <w:rsid w:val="00134B3E"/>
    <w:rsid w:val="00175CB8"/>
    <w:rsid w:val="00196A4B"/>
    <w:rsid w:val="001D120E"/>
    <w:rsid w:val="001D6EE8"/>
    <w:rsid w:val="002B5677"/>
    <w:rsid w:val="00302FE7"/>
    <w:rsid w:val="00326AFD"/>
    <w:rsid w:val="003864E8"/>
    <w:rsid w:val="003A4A36"/>
    <w:rsid w:val="00402625"/>
    <w:rsid w:val="004872C0"/>
    <w:rsid w:val="00505579"/>
    <w:rsid w:val="005A0E2F"/>
    <w:rsid w:val="00686849"/>
    <w:rsid w:val="00736DEC"/>
    <w:rsid w:val="00780C63"/>
    <w:rsid w:val="007B4468"/>
    <w:rsid w:val="007C58AE"/>
    <w:rsid w:val="00826055"/>
    <w:rsid w:val="00856994"/>
    <w:rsid w:val="008576AB"/>
    <w:rsid w:val="00865D06"/>
    <w:rsid w:val="00875B55"/>
    <w:rsid w:val="00877111"/>
    <w:rsid w:val="0088104B"/>
    <w:rsid w:val="009666E7"/>
    <w:rsid w:val="00994F74"/>
    <w:rsid w:val="009C47B0"/>
    <w:rsid w:val="00A1400C"/>
    <w:rsid w:val="00A22A5D"/>
    <w:rsid w:val="00A27F19"/>
    <w:rsid w:val="00AB35FD"/>
    <w:rsid w:val="00B42E12"/>
    <w:rsid w:val="00B66C63"/>
    <w:rsid w:val="00BE6604"/>
    <w:rsid w:val="00BE74F9"/>
    <w:rsid w:val="00C44EAC"/>
    <w:rsid w:val="00C64FBF"/>
    <w:rsid w:val="00C82A14"/>
    <w:rsid w:val="00D11739"/>
    <w:rsid w:val="00D136F3"/>
    <w:rsid w:val="00D231AD"/>
    <w:rsid w:val="00D247A0"/>
    <w:rsid w:val="00D9575F"/>
    <w:rsid w:val="00DA063C"/>
    <w:rsid w:val="00E26F14"/>
    <w:rsid w:val="00E870BB"/>
    <w:rsid w:val="00E871B8"/>
    <w:rsid w:val="00EA317E"/>
    <w:rsid w:val="00EA5554"/>
    <w:rsid w:val="00EB7A4A"/>
    <w:rsid w:val="00EC749F"/>
    <w:rsid w:val="00F11362"/>
    <w:rsid w:val="00F71D2C"/>
    <w:rsid w:val="00F824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3EB76AC"/>
  <w15:chartTrackingRefBased/>
  <w15:docId w15:val="{FE0C74F8-012A-E749-81A5-6CFCC4FEF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B4468"/>
  </w:style>
  <w:style w:type="paragraph" w:styleId="Heading1">
    <w:name w:val="heading 1"/>
    <w:basedOn w:val="Normal"/>
    <w:next w:val="Normal"/>
    <w:link w:val="Heading1Char"/>
    <w:uiPriority w:val="9"/>
    <w:qFormat/>
    <w:rsid w:val="007B44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44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44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44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44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446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46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46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46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0B4069"/>
    <w:pPr>
      <w:numPr>
        <w:numId w:val="1"/>
      </w:numPr>
    </w:pPr>
  </w:style>
  <w:style w:type="character" w:customStyle="1" w:styleId="Heading1Char">
    <w:name w:val="Heading 1 Char"/>
    <w:basedOn w:val="DefaultParagraphFont"/>
    <w:link w:val="Heading1"/>
    <w:uiPriority w:val="9"/>
    <w:rsid w:val="007B44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44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44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44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44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44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4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4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468"/>
    <w:rPr>
      <w:rFonts w:eastAsiaTheme="majorEastAsia" w:cstheme="majorBidi"/>
      <w:color w:val="272727" w:themeColor="text1" w:themeTint="D8"/>
    </w:rPr>
  </w:style>
  <w:style w:type="paragraph" w:styleId="Title">
    <w:name w:val="Title"/>
    <w:basedOn w:val="Normal"/>
    <w:next w:val="Normal"/>
    <w:link w:val="TitleChar"/>
    <w:uiPriority w:val="10"/>
    <w:qFormat/>
    <w:rsid w:val="007B446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4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46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4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46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B4468"/>
    <w:rPr>
      <w:i/>
      <w:iCs/>
      <w:color w:val="404040" w:themeColor="text1" w:themeTint="BF"/>
    </w:rPr>
  </w:style>
  <w:style w:type="paragraph" w:styleId="ListParagraph">
    <w:name w:val="List Paragraph"/>
    <w:basedOn w:val="Normal"/>
    <w:uiPriority w:val="34"/>
    <w:qFormat/>
    <w:rsid w:val="007B4468"/>
    <w:pPr>
      <w:ind w:left="720"/>
      <w:contextualSpacing/>
    </w:pPr>
  </w:style>
  <w:style w:type="character" w:styleId="IntenseEmphasis">
    <w:name w:val="Intense Emphasis"/>
    <w:basedOn w:val="DefaultParagraphFont"/>
    <w:uiPriority w:val="21"/>
    <w:qFormat/>
    <w:rsid w:val="007B4468"/>
    <w:rPr>
      <w:i/>
      <w:iCs/>
      <w:color w:val="0F4761" w:themeColor="accent1" w:themeShade="BF"/>
    </w:rPr>
  </w:style>
  <w:style w:type="paragraph" w:styleId="IntenseQuote">
    <w:name w:val="Intense Quote"/>
    <w:basedOn w:val="Normal"/>
    <w:next w:val="Normal"/>
    <w:link w:val="IntenseQuoteChar"/>
    <w:uiPriority w:val="30"/>
    <w:qFormat/>
    <w:rsid w:val="007B44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4468"/>
    <w:rPr>
      <w:i/>
      <w:iCs/>
      <w:color w:val="0F4761" w:themeColor="accent1" w:themeShade="BF"/>
    </w:rPr>
  </w:style>
  <w:style w:type="character" w:styleId="IntenseReference">
    <w:name w:val="Intense Reference"/>
    <w:basedOn w:val="DefaultParagraphFont"/>
    <w:uiPriority w:val="32"/>
    <w:qFormat/>
    <w:rsid w:val="007B4468"/>
    <w:rPr>
      <w:b/>
      <w:bCs/>
      <w:smallCaps/>
      <w:color w:val="0F4761" w:themeColor="accent1" w:themeShade="BF"/>
      <w:spacing w:val="5"/>
    </w:rPr>
  </w:style>
  <w:style w:type="character" w:styleId="CommentReference">
    <w:name w:val="annotation reference"/>
    <w:basedOn w:val="DefaultParagraphFont"/>
    <w:uiPriority w:val="99"/>
    <w:semiHidden/>
    <w:unhideWhenUsed/>
    <w:rsid w:val="007B4468"/>
    <w:rPr>
      <w:sz w:val="16"/>
      <w:szCs w:val="16"/>
    </w:rPr>
  </w:style>
  <w:style w:type="paragraph" w:styleId="CommentText">
    <w:name w:val="annotation text"/>
    <w:basedOn w:val="Normal"/>
    <w:link w:val="CommentTextChar"/>
    <w:uiPriority w:val="99"/>
    <w:unhideWhenUsed/>
    <w:rsid w:val="007B4468"/>
    <w:rPr>
      <w:sz w:val="20"/>
      <w:szCs w:val="20"/>
    </w:rPr>
  </w:style>
  <w:style w:type="character" w:customStyle="1" w:styleId="CommentTextChar">
    <w:name w:val="Comment Text Char"/>
    <w:basedOn w:val="DefaultParagraphFont"/>
    <w:link w:val="CommentText"/>
    <w:uiPriority w:val="99"/>
    <w:rsid w:val="007B4468"/>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2</Pages>
  <Words>521</Words>
  <Characters>2976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Anderson-Bell</dc:creator>
  <cp:keywords/>
  <dc:description/>
  <cp:lastModifiedBy>Dustin Anderson-Bell</cp:lastModifiedBy>
  <cp:revision>31</cp:revision>
  <dcterms:created xsi:type="dcterms:W3CDTF">2025-02-25T19:59:00Z</dcterms:created>
  <dcterms:modified xsi:type="dcterms:W3CDTF">2025-02-26T14:44:00Z</dcterms:modified>
</cp:coreProperties>
</file>