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ADBF6" w14:textId="77777777" w:rsidR="00F14FA7" w:rsidRDefault="00F14FA7" w:rsidP="00F14FA7"/>
    <w:p w14:paraId="5E655B29" w14:textId="77777777" w:rsidR="00FC5A12" w:rsidRDefault="00FC5A12" w:rsidP="00F14FA7"/>
    <w:p w14:paraId="1E663ED8" w14:textId="77777777" w:rsidR="00FC5A12" w:rsidRDefault="00FC5A12" w:rsidP="00F14FA7"/>
    <w:p w14:paraId="508A9663" w14:textId="005BBFEA" w:rsidR="007650E2" w:rsidRDefault="007650E2" w:rsidP="00F14FA7">
      <w:pPr>
        <w:rPr>
          <w:b/>
          <w:bCs/>
        </w:rPr>
      </w:pPr>
      <w:commentRangeStart w:id="0"/>
      <w:commentRangeStart w:id="1"/>
      <w:r>
        <w:rPr>
          <w:b/>
          <w:bCs/>
        </w:rPr>
        <w:t>Title:</w:t>
      </w:r>
      <w:commentRangeEnd w:id="0"/>
      <w:r w:rsidR="009507B7">
        <w:rPr>
          <w:rStyle w:val="CommentReference"/>
        </w:rPr>
        <w:commentReference w:id="0"/>
      </w:r>
      <w:commentRangeEnd w:id="1"/>
      <w:r w:rsidR="006704B4">
        <w:rPr>
          <w:rStyle w:val="CommentReference"/>
        </w:rPr>
        <w:commentReference w:id="1"/>
      </w:r>
    </w:p>
    <w:p w14:paraId="15D76628" w14:textId="1E0AC6D6" w:rsidR="007650E2" w:rsidRPr="007650E2" w:rsidRDefault="007650E2" w:rsidP="00F14FA7">
      <w:r>
        <w:t>An in-silico assessment of the accuracy of transcutaneous CO</w:t>
      </w:r>
      <w:r w:rsidR="00243FAA" w:rsidRPr="008477EE">
        <w:rPr>
          <w:vertAlign w:val="subscript"/>
        </w:rPr>
        <w:t>2</w:t>
      </w:r>
      <w:r>
        <w:t xml:space="preserve"> monitoring –</w:t>
      </w:r>
      <w:r w:rsidR="00125131">
        <w:t xml:space="preserve"> Good enough to be</w:t>
      </w:r>
      <w:r>
        <w:t xml:space="preserve"> the pulse ox of ventilation?</w:t>
      </w:r>
    </w:p>
    <w:p w14:paraId="35568DB9" w14:textId="77777777" w:rsidR="006704B4" w:rsidRDefault="006704B4">
      <w:pPr>
        <w:rPr>
          <w:b/>
          <w:bCs/>
        </w:rPr>
      </w:pPr>
    </w:p>
    <w:p w14:paraId="0415D60C" w14:textId="77777777" w:rsidR="006704B4" w:rsidRDefault="006704B4">
      <w:pPr>
        <w:rPr>
          <w:b/>
          <w:bCs/>
        </w:rPr>
      </w:pPr>
      <w:r>
        <w:rPr>
          <w:b/>
          <w:bCs/>
        </w:rPr>
        <w:t>Authors:</w:t>
      </w:r>
    </w:p>
    <w:p w14:paraId="11C7AAF0" w14:textId="77777777" w:rsidR="006704B4" w:rsidRDefault="006704B4"/>
    <w:p w14:paraId="042E44E8" w14:textId="77777777" w:rsidR="006704B4" w:rsidRDefault="006704B4">
      <w:r>
        <w:t>Dustin Anderson-Bell MD</w:t>
      </w:r>
    </w:p>
    <w:p w14:paraId="1FF2AB4C" w14:textId="27E8A8D9" w:rsidR="006704B4" w:rsidRDefault="006704B4">
      <w:r>
        <w:t>Jeanette Brown</w:t>
      </w:r>
      <w:r w:rsidR="005513E7">
        <w:t xml:space="preserve"> MD PhD</w:t>
      </w:r>
    </w:p>
    <w:p w14:paraId="0FDF18D0" w14:textId="2787F8A3" w:rsidR="0014370B" w:rsidRDefault="0014370B">
      <w:proofErr w:type="spellStart"/>
      <w:r>
        <w:t>Ramkiran</w:t>
      </w:r>
      <w:proofErr w:type="spellEnd"/>
      <w:r>
        <w:t xml:space="preserve"> </w:t>
      </w:r>
      <w:proofErr w:type="spellStart"/>
      <w:r>
        <w:t>Gourripeddi</w:t>
      </w:r>
      <w:proofErr w:type="spellEnd"/>
      <w:r w:rsidR="005513E7">
        <w:t xml:space="preserve"> MBBS MSc</w:t>
      </w:r>
    </w:p>
    <w:p w14:paraId="57A6ACDF" w14:textId="6F9DB2BE" w:rsidR="006704B4" w:rsidRDefault="006704B4">
      <w:r>
        <w:t xml:space="preserve">? Ben </w:t>
      </w:r>
      <w:proofErr w:type="spellStart"/>
      <w:r>
        <w:t>Brintz</w:t>
      </w:r>
      <w:proofErr w:type="spellEnd"/>
    </w:p>
    <w:p w14:paraId="213F1E9C" w14:textId="519BE01C" w:rsidR="006704B4" w:rsidRDefault="006704B4">
      <w:r>
        <w:t xml:space="preserve">? </w:t>
      </w:r>
      <w:r w:rsidR="00670CEB" w:rsidRPr="00670CEB">
        <w:t xml:space="preserve">Jason </w:t>
      </w:r>
      <w:proofErr w:type="spellStart"/>
      <w:r w:rsidR="00670CEB" w:rsidRPr="00670CEB">
        <w:t>Ackrivo</w:t>
      </w:r>
      <w:proofErr w:type="spellEnd"/>
      <w:r w:rsidR="00670CEB" w:rsidRPr="00670CEB">
        <w:t>?</w:t>
      </w:r>
    </w:p>
    <w:p w14:paraId="2B701083" w14:textId="104D1FF1" w:rsidR="006704B4" w:rsidRPr="006704B4" w:rsidRDefault="006704B4">
      <w:r>
        <w:t xml:space="preserve">Brian W Locke, MD MSCI </w:t>
      </w:r>
      <w:r>
        <w:rPr>
          <w:b/>
          <w:bCs/>
        </w:rPr>
        <w:br w:type="page"/>
      </w:r>
    </w:p>
    <w:p w14:paraId="63B5253C" w14:textId="38DEA5C7" w:rsidR="00F14FA7" w:rsidRPr="00F70102" w:rsidRDefault="00874181" w:rsidP="00F14FA7">
      <w:pPr>
        <w:rPr>
          <w:b/>
          <w:bCs/>
        </w:rPr>
      </w:pPr>
      <w:r>
        <w:rPr>
          <w:b/>
          <w:bCs/>
        </w:rPr>
        <w:lastRenderedPageBreak/>
        <w:t>Background</w:t>
      </w:r>
      <w:r w:rsidR="00F14FA7" w:rsidRPr="00F70102">
        <w:rPr>
          <w:b/>
          <w:bCs/>
        </w:rPr>
        <w:t xml:space="preserve">: </w:t>
      </w:r>
    </w:p>
    <w:p w14:paraId="0EBB4F0C" w14:textId="78EE45AF" w:rsidR="005F184A" w:rsidRDefault="00153679" w:rsidP="00F14FA7">
      <w:r>
        <w:t>H</w:t>
      </w:r>
      <w:r w:rsidR="00F14FA7">
        <w:t>ypercapnic respiratory failure is a widespread</w:t>
      </w:r>
      <w:r>
        <w:t xml:space="preserve"> and consequential</w:t>
      </w:r>
      <w:r w:rsidR="00F14FA7">
        <w:t xml:space="preserve"> problem</w:t>
      </w:r>
      <w:r w:rsidR="00FC5A12">
        <w:t xml:space="preserve"> with prognostic significance</w:t>
      </w:r>
      <w:r w:rsidR="002C7987">
        <w:t>.</w:t>
      </w:r>
      <w:r w:rsidR="00FC5A12">
        <w:fldChar w:fldCharType="begin"/>
      </w:r>
      <w:r w:rsidR="005A3752">
        <w:instrText xml:space="preserve"> ADDIN ZOTERO_ITEM CSL_CITATION {"citationID":"SoxHCWxg","properties":{"formattedCitation":"\\super 1\\uc0\\u8211{}6\\nosupersub{}","plainCitation":"1–6","noteIndex":0},"citationItems":[{"id":894,"uris":["http://zotero.org/users/16023988/items/H3IRCUSS"],"itemData":{"id":894,"type":"article-journal","abstract":"AIMS: Non-invasive positive pressure ventilation rapidly improves the symptoms of acute heart failure (AHF). A portion of patients, however, are forced to be intubated even though intubation is associated with serious complications, and hypercapnia is often observed in AHF requiring intubation. The purpose of this study is to examine the clinical profile and management of hypercapnia in AHF patients.\nMETHODS AND RESULTS: We examined the arterial blood gas analysis in 193 consecutive AHF patients (73</w:instrText>
      </w:r>
      <w:r w:rsidR="005A3752">
        <w:rPr>
          <w:rFonts w:ascii="Arial" w:hAnsi="Arial" w:cs="Arial"/>
        </w:rPr>
        <w:instrText> </w:instrText>
      </w:r>
      <w:r w:rsidR="005A3752">
        <w:instrText>±</w:instrText>
      </w:r>
      <w:r w:rsidR="005A3752">
        <w:rPr>
          <w:rFonts w:ascii="Arial" w:hAnsi="Arial" w:cs="Arial"/>
        </w:rPr>
        <w:instrText> </w:instrText>
      </w:r>
      <w:r w:rsidR="005A3752">
        <w:instrText>12</w:instrText>
      </w:r>
      <w:r w:rsidR="005A3752">
        <w:rPr>
          <w:rFonts w:ascii="Arial" w:hAnsi="Arial" w:cs="Arial"/>
        </w:rPr>
        <w:instrText> </w:instrText>
      </w:r>
      <w:r w:rsidR="005A3752">
        <w:instrText>years, 61% men) at admission. Many patients (n</w:instrText>
      </w:r>
      <w:r w:rsidR="005A3752">
        <w:rPr>
          <w:rFonts w:ascii="Arial" w:hAnsi="Arial" w:cs="Arial"/>
        </w:rPr>
        <w:instrText> </w:instrText>
      </w:r>
      <w:r w:rsidR="005A3752">
        <w:instrText>=</w:instrText>
      </w:r>
      <w:r w:rsidR="005A3752">
        <w:rPr>
          <w:rFonts w:ascii="Arial" w:hAnsi="Arial" w:cs="Arial"/>
        </w:rPr>
        <w:instrText> </w:instrText>
      </w:r>
      <w:r w:rsidR="005A3752">
        <w:instrText>129, 66.8%) had already been treated with oxygen by the ambulance staff. Hypercapnia (PaCO2 at admission &gt;45</w:instrText>
      </w:r>
      <w:r w:rsidR="005A3752">
        <w:rPr>
          <w:rFonts w:ascii="Arial" w:hAnsi="Arial" w:cs="Arial"/>
        </w:rPr>
        <w:instrText> </w:instrText>
      </w:r>
      <w:r w:rsidR="005A3752">
        <w:instrText xml:space="preserve">mmHg) and hypocapnia (PaCO2 </w:instrText>
      </w:r>
      <w:r w:rsidR="005A3752">
        <w:rPr>
          <w:rFonts w:ascii="Arial" w:hAnsi="Arial" w:cs="Arial"/>
        </w:rPr>
        <w:instrText> </w:instrText>
      </w:r>
      <w:r w:rsidR="005A3752">
        <w:instrText>&lt;</w:instrText>
      </w:r>
      <w:r w:rsidR="005A3752">
        <w:rPr>
          <w:rFonts w:ascii="Arial" w:hAnsi="Arial" w:cs="Arial"/>
        </w:rPr>
        <w:instrText> </w:instrText>
      </w:r>
      <w:r w:rsidR="005A3752">
        <w:instrText>35</w:instrText>
      </w:r>
      <w:r w:rsidR="005A3752">
        <w:rPr>
          <w:rFonts w:ascii="Arial" w:hAnsi="Arial" w:cs="Arial"/>
        </w:rPr>
        <w:instrText> </w:instrText>
      </w:r>
      <w:r w:rsidR="005A3752">
        <w:instrText>mmHg) were observed in 33.7% and 32.6%, respectively. Whereas 16 (24.6%) hypercapnic patients were intubated, there were only one (1.5%) normocapnic and no hypocapnic patients intubated. Patients with hypercapnia are more likely to be in the New York Heart Association Class IV (96.9% vs. 78.9%, P</w:instrText>
      </w:r>
      <w:r w:rsidR="005A3752">
        <w:rPr>
          <w:rFonts w:ascii="Arial" w:hAnsi="Arial" w:cs="Arial"/>
        </w:rPr>
        <w:instrText> </w:instrText>
      </w:r>
      <w:r w:rsidR="005A3752">
        <w:instrText>&lt;</w:instrText>
      </w:r>
      <w:r w:rsidR="005A3752">
        <w:rPr>
          <w:rFonts w:ascii="Arial" w:hAnsi="Arial" w:cs="Arial"/>
        </w:rPr>
        <w:instrText> </w:instrText>
      </w:r>
      <w:r w:rsidR="005A3752">
        <w:instrText>0.001), to have acute onset within 6</w:instrText>
      </w:r>
      <w:r w:rsidR="005A3752">
        <w:rPr>
          <w:rFonts w:ascii="Arial" w:hAnsi="Arial" w:cs="Arial"/>
        </w:rPr>
        <w:instrText> </w:instrText>
      </w:r>
      <w:r w:rsidR="005A3752">
        <w:instrText>h (50.8% vs. 25.0%, P</w:instrText>
      </w:r>
      <w:r w:rsidR="005A3752">
        <w:rPr>
          <w:rFonts w:ascii="Arial" w:hAnsi="Arial" w:cs="Arial"/>
        </w:rPr>
        <w:instrText> </w:instrText>
      </w:r>
      <w:r w:rsidR="005A3752">
        <w:instrText>&lt;</w:instrText>
      </w:r>
      <w:r w:rsidR="005A3752">
        <w:rPr>
          <w:rFonts w:ascii="Arial" w:hAnsi="Arial" w:cs="Arial"/>
        </w:rPr>
        <w:instrText> </w:instrText>
      </w:r>
      <w:r w:rsidR="005A3752">
        <w:instrText>0.001), and to have radiographic pulmonary oedema (84.6% vs. 57.8%, P</w:instrText>
      </w:r>
      <w:r w:rsidR="005A3752">
        <w:rPr>
          <w:rFonts w:ascii="Arial" w:hAnsi="Arial" w:cs="Arial"/>
        </w:rPr>
        <w:instrText> </w:instrText>
      </w:r>
      <w:r w:rsidR="005A3752">
        <w:instrText>&lt;</w:instrText>
      </w:r>
      <w:r w:rsidR="005A3752">
        <w:rPr>
          <w:rFonts w:ascii="Arial" w:hAnsi="Arial" w:cs="Arial"/>
        </w:rPr>
        <w:instrText> </w:instrText>
      </w:r>
      <w:r w:rsidR="005A3752">
        <w:instrText>0.001) than those with hypo-normocapnia. Hypercapnia was more frequent in patients with acute cardiogenic pulmonary oedema than in those with acute decompensated heart failure (51.9% vs. 23.6%, P</w:instrText>
      </w:r>
      <w:r w:rsidR="005A3752">
        <w:rPr>
          <w:rFonts w:ascii="Arial" w:hAnsi="Arial" w:cs="Arial"/>
        </w:rPr>
        <w:instrText> </w:instrText>
      </w:r>
      <w:r w:rsidR="005A3752">
        <w:instrText>&lt;</w:instrText>
      </w:r>
      <w:r w:rsidR="005A3752">
        <w:rPr>
          <w:rFonts w:ascii="Arial" w:hAnsi="Arial" w:cs="Arial"/>
        </w:rPr>
        <w:instrText> </w:instrText>
      </w:r>
      <w:r w:rsidR="005A3752">
        <w:instrText>0.001). At discharge, hypercapnia was observed in 17.8% of patients who were hypercapnic at admission.\nCONCLUSION: Hypercapnia emerged in AHF acutely and transiently, was associated with immediate airway intervention, and was possibly involved in the pathophysiology of acute pulmonary oedema. Patients with acute onset dyspnoea should have their respiratory status carefully managed. These pathophysiological findings are expected to be utilized in treating or preventing AHF.","container-title":"ESC heart failure","DOI":"10.1002/ehf2.12023","ISSN":"2055-5822","issue":"1","journalAbbreviation":"ESC Heart Fail","language":"eng","note":"PMID: 28834643\nPMCID: PMC5746960","page":"12-19","source":"PubMed","title":"Hypercapnia in patients with acute heart failure","volume":"2","author":[{"family":"Konishi","given":"Masaaki"},{"family":"Akiyama","given":"Eiichi"},{"family":"Suzuki","given":"Hiroyuki"},{"family":"Iwahashi","given":"Noriaki"},{"family":"Maejima","given":"Nobuhiko"},{"family":"Tsukahara","given":"Kengo"},{"family":"Hibi","given":"Kiyoshi"},{"family":"Kosuge","given":"Masami"},{"family":"Ebina","given":"Toshiaki"},{"family":"Sakamaki","given":"Kentaro"},{"family":"Matsuzawa","given":"Yasushi"},{"family":"Endo","given":"Mitsuaki"},{"family":"Umemura","given":"Satoshi"},{"family":"Kimura","given":"Kazuo"}],"issued":{"date-parts":[["2015",3]]}}},{"id":890,"uris":["http://zotero.org/users/16023988/items/WBA4LSQI"],"itemData":{"id":890,"type":"article-journal","abstract":"PURPOSE: To analyze the relationship between hypercapnia developing within the first 48 h after the start of mechanical ventilation and outcome in patients with acute respiratory distress syndrome (ARDS).\nPATIENTS AND METHODS: We performed a secondary analysis of three prospective non-interventional cohort studies focusing on ARDS patients from 927 intensive care units (ICUs) in 40 countries. These patients received mechanical ventilation for more than 12 h during 1-month periods in 1998, 2004, and 2010. We used multivariable logistic regression and a propensity score analysis to examine the association between hypercapnia and ICU mortality.\nMAIN OUTCOMES: We included 1899 patients with ARDS in this study. The relationship between maximum PaCO2 in the first 48 h and mortality suggests higher mortality at or above PaCO2 of ≥50 mmHg. Patients with severe hypercapnia (PaCO2 ≥50 mmHg) had higher complication rates, more organ failures, and worse outcomes. After adjusting for age, SAPS II score, respiratory rate, positive end-expiratory pressure, PaO2/FiO2 ratio, driving pressure, pressure/volume limitation strategy (PLS), corrected minute ventilation, and presence of acidosis, severe hypercapnia was associated with increased risk of ICU mortality [odds ratio (OR) 1.93, 95% confidence interval (CI) 1.32 to 2.81; p = 0.001]. In patients with severe hypercapnia matched for all other variables, ventilation with PLS was associated with higher ICU mortality (OR 1.58, CI 95% 1.04-2.41; p = 0.032).\nCONCLUSIONS: Severe hypercapnia appears to be independently associated with higher ICU mortality in patients with ARDS.\nTRIAL REGISTRATION: Clinicaltrials.gov identifier, NCT01093482.","container-title":"Intensive Care Medicine","DOI":"10.1007/s00134-016-4611-1","ISSN":"1432-1238","issue":"2","journalAbbreviation":"Intensive Care Med","language":"eng","note":"PMID: 28108768\nPMCID: PMC5630225","page":"200-208","source":"PubMed","title":"Severe hypercapnia and outcome of mechanically ventilated patients with moderate or severe acute respiratory distress syndrome","volume":"43","author":[{"family":"Nin","given":"Nicolas"},{"family":"Muriel","given":"Alfonso"},{"family":"Peñuelas","given":"Oscar"},{"family":"Brochard","given":"Laurent"},{"family":"Lorente","given":"José Angel"},{"family":"Ferguson","given":"Niall D."},{"family":"Raymondos","given":"Konstantinos"},{"family":"Ríos","given":"Fernando"},{"family":"Violi","given":"Damian A."},{"family":"Thille","given":"Arnaud W."},{"family":"González","given":"Marco"},{"family":"Villagomez","given":"Asisclo J."},{"family":"Hurtado","given":"Javier"},{"family":"Davies","given":"Andrew R."},{"family":"Du","given":"Bin"},{"family":"Maggiore","given":"Salvatore M."},{"family":"Soto","given":"Luis"},{"family":"D'Empaire","given":"Gabriel"},{"family":"Matamis","given":"Dimitrios"},{"family":"Abroug","given":"Fekri"},{"family":"Moreno","given":"Rui P."},{"family":"Soares","given":"Marco Antonio"},{"family":"Arabi","given":"Yaseen"},{"family":"Sandi","given":"Freddy"},{"family":"Jibaja","given":"Manuel"},{"family":"Amin","given":"Pravin"},{"family":"Koh","given":"Younsuck"},{"family":"Kuiper","given":"Michael A."},{"family":"Bülow","given":"Hans-Henrik"},{"family":"Zeggwagh","given":"Amine Ali"},{"family":"Anzueto","given":"Antonio"},{"family":"Sznajder","given":"Jacob I."},{"family":"Esteban","given":"Andres"},{"literal":"VENTILA Group"}],"issued":{"date-parts":[["2017",2]]}}},{"id":885,"uris":["http://zotero.org/users/16023988/items/TCVLZ432"],"itemData":{"id":885,"type":"article-journal","abstract":"Rationale\nAcute hypercapnic respiratory failure has been shown to be associated with\nworse outcomes for various disease states, but less is known about patients\nwith compensated hypercapnic respiratory failure. Although these patients\nhave a normal pH, it remains unknown whether chronically elevated carbon\ndioxide partial pressure (Pco2), irrespective of\netiology, puts patients at risk of adverse events.\n\nObjectives\nTo understand the burden of and clinical factors associated with morbidity\nand mortality in patients with compensated hypercapnic respiratory\nfailure.\n\nMethods\nWe performed a query of the electronic medical record to identify patients\nhospitalized at the University of Michigan from January 1 to December 31,\n2018, who had compensated hypercapnia, by using a Pco2\n</w:instrText>
      </w:r>
      <w:r w:rsidR="005A3752">
        <w:rPr>
          <w:rFonts w:ascii="Cambria Math" w:hAnsi="Cambria Math" w:cs="Cambria Math"/>
        </w:rPr>
        <w:instrText>⩾</w:instrText>
      </w:r>
      <w:r w:rsidR="005A3752">
        <w:instrText xml:space="preserve"> 50 mm Hg and a pH of 7.35–7.45 on arterial blood gas . We\nobtained demographic and clinical data from the electronic medical record.\nSurvival probabilities for Pco2 subgroups\n(50.0–54.9, 55.0–64.9, and </w:instrText>
      </w:r>
      <w:r w:rsidR="005A3752">
        <w:rPr>
          <w:rFonts w:ascii="Cambria Math" w:hAnsi="Cambria Math" w:cs="Cambria Math"/>
        </w:rPr>
        <w:instrText>⩾</w:instrText>
      </w:r>
      <w:r w:rsidR="005A3752">
        <w:instrText>65.0 mm Hg) were determined\nby using the Kaplan-Meier product limit estimator. Cox proportional hazard\nmodels were constructed to test the association between\nPco2 and all-cause mortality.\n\nResults\nWe identified 491 patients with compensated hypercapnia. The mean age was\n60.5</w:instrText>
      </w:r>
      <w:r w:rsidR="005A3752">
        <w:rPr>
          <w:rFonts w:ascii="Arial" w:hAnsi="Arial" w:cs="Arial"/>
        </w:rPr>
        <w:instrText> </w:instrText>
      </w:r>
      <w:r w:rsidR="005A3752">
        <w:instrText>±</w:instrText>
      </w:r>
      <w:r w:rsidR="005A3752">
        <w:rPr>
          <w:rFonts w:ascii="Arial" w:hAnsi="Arial" w:cs="Arial"/>
        </w:rPr>
        <w:instrText> </w:instrText>
      </w:r>
      <w:r w:rsidR="005A3752">
        <w:instrText>16.2 years. Patients were 57.4% male and\n86.2% white. The mean pH and Pco2 were\n7.38</w:instrText>
      </w:r>
      <w:r w:rsidR="005A3752">
        <w:rPr>
          <w:rFonts w:ascii="Arial" w:hAnsi="Arial" w:cs="Arial"/>
        </w:rPr>
        <w:instrText> </w:instrText>
      </w:r>
      <w:r w:rsidR="005A3752">
        <w:instrText>±</w:instrText>
      </w:r>
      <w:r w:rsidR="005A3752">
        <w:rPr>
          <w:rFonts w:ascii="Arial" w:hAnsi="Arial" w:cs="Arial"/>
        </w:rPr>
        <w:instrText> </w:instrText>
      </w:r>
      <w:r w:rsidR="005A3752">
        <w:instrText>0.03 and 58.8</w:instrText>
      </w:r>
      <w:r w:rsidR="005A3752">
        <w:rPr>
          <w:rFonts w:ascii="Arial" w:hAnsi="Arial" w:cs="Arial"/>
        </w:rPr>
        <w:instrText> </w:instrText>
      </w:r>
      <w:r w:rsidR="005A3752">
        <w:instrText>±</w:instrText>
      </w:r>
      <w:r w:rsidR="005A3752">
        <w:rPr>
          <w:rFonts w:ascii="Arial" w:hAnsi="Arial" w:cs="Arial"/>
        </w:rPr>
        <w:instrText> </w:instrText>
      </w:r>
      <w:r w:rsidR="005A3752">
        <w:instrText>9.7 mm Hg,\nrespectively. There was a total of 1,030 hospitalizations, with 44.4%\nof patients having two or more admissions. The median numbers of cumulative\nhospital and intensive care unit days were 21.0 (interquartile range [IQR],\n11.0–38.0) and 7.0 (IQR, 3.0–14.0) days, respectively. Two\nhundred seventeen patients (44.2%) died over a median of 592 days. In\nunivariate analysis, every 5–mm Hg increase in\nPco2 was associated with a higher risk of all-cause\ndeath (hazard ratio, 1.09; 95% confidence interval [CI]:\n1.03–1.16; P</w:instrText>
      </w:r>
      <w:r w:rsidR="005A3752">
        <w:rPr>
          <w:rFonts w:ascii="Arial" w:hAnsi="Arial" w:cs="Arial"/>
        </w:rPr>
        <w:instrText> </w:instrText>
      </w:r>
      <w:r w:rsidR="005A3752">
        <w:instrText>=</w:instrText>
      </w:r>
      <w:r w:rsidR="005A3752">
        <w:rPr>
          <w:rFonts w:ascii="Arial" w:hAnsi="Arial" w:cs="Arial"/>
        </w:rPr>
        <w:instrText> </w:instrText>
      </w:r>
      <w:r w:rsidR="005A3752">
        <w:instrText>0.004). This\nassociation was maintained after adjusting for the age, sex, body mass index\n(BMI), and Charlson comorbidity index (hazard ratio of 1.09 for every\n5–mm Hg increase in Pco2; 95% CI:\n1.02–1.16; P</w:instrText>
      </w:r>
      <w:r w:rsidR="005A3752">
        <w:rPr>
          <w:rFonts w:ascii="Arial" w:hAnsi="Arial" w:cs="Arial"/>
        </w:rPr>
        <w:instrText> </w:instrText>
      </w:r>
      <w:r w:rsidR="005A3752">
        <w:instrText>=</w:instrText>
      </w:r>
      <w:r w:rsidR="005A3752">
        <w:rPr>
          <w:rFonts w:ascii="Arial" w:hAnsi="Arial" w:cs="Arial"/>
        </w:rPr>
        <w:instrText> </w:instrText>
      </w:r>
      <w:r w:rsidR="005A3752">
        <w:instrText>0.009). There\nwas a statistically significant interaction between the\nPco2 and the BMI in relation to mortality\n(P</w:instrText>
      </w:r>
      <w:r w:rsidR="005A3752">
        <w:rPr>
          <w:rFonts w:ascii="Arial" w:hAnsi="Arial" w:cs="Arial"/>
        </w:rPr>
        <w:instrText> </w:instrText>
      </w:r>
      <w:r w:rsidR="005A3752">
        <w:instrText>=</w:instrText>
      </w:r>
      <w:r w:rsidR="005A3752">
        <w:rPr>
          <w:rFonts w:ascii="Arial" w:hAnsi="Arial" w:cs="Arial"/>
        </w:rPr>
        <w:instrText> </w:instrText>
      </w:r>
      <w:r w:rsidR="005A3752">
        <w:instrText>0.01 for the interaction\nterm).\n\nConclusions\nPatients with compensated hypercapnic respiratory failure have high mortality\nand healthcare use, with higher Pco2 being associated\nwith worse survival. Hypercapnic patients with obesity have a higher risk of\ndeath with increases in Pco2.","container-title":"Annals of the American Thoracic Society","DOI":"10.1513/AnnalsATS.202009-1197OC","ISSN":"2329-6933","issue":"12","journalAbbreviation":"Ann Am Thorac Soc","note":"PMID: 33951397\nPMCID: PMC12039822","page":"2027-2032","source":"PubMed Central","title":"Mortality and Healthcare Use of Patients with Compensated Hypercapnia","volume":"18","author":[{"family":"Wilson","given":"Matthew W."},{"family":"Labaki","given":"Wassim W."},{"family":"Choi","given":"Philip J."}]}},{"id":887,"uris":["http://zotero.org/users/16023988/items/RM22FQLX"],"itemData":{"id":887,"type":"article-journal","abstract":"BACKGROUND: Non-invasive ventilation (NIV) is used to treat acute hypercapnic respiratory failure (AHRF) in patients with chronic obstructive pulmonary disease (COPD); however, long-term outcomes following discharge are largely unknown. This study aimed to characterize long-term outcomes and identify associated markers in patients with COPD after surviving the first episode of HRF requiring NIV.\nMETHODS: This study retrospectively analyzed 122 patients, mean age 62</w:instrText>
      </w:r>
      <w:r w:rsidR="005A3752">
        <w:rPr>
          <w:rFonts w:ascii="Arial" w:hAnsi="Arial" w:cs="Arial"/>
        </w:rPr>
        <w:instrText> </w:instrText>
      </w:r>
      <w:r w:rsidR="005A3752">
        <w:instrText>±</w:instrText>
      </w:r>
      <w:r w:rsidR="005A3752">
        <w:rPr>
          <w:rFonts w:ascii="Arial" w:hAnsi="Arial" w:cs="Arial"/>
        </w:rPr>
        <w:instrText> </w:instrText>
      </w:r>
      <w:r w:rsidR="005A3752">
        <w:instrText>8 years, 52% female and forced expiratory volume in 1 s (FEV1) predicted 30</w:instrText>
      </w:r>
      <w:r w:rsidR="005A3752">
        <w:rPr>
          <w:rFonts w:ascii="Arial" w:hAnsi="Arial" w:cs="Arial"/>
        </w:rPr>
        <w:instrText> </w:instrText>
      </w:r>
      <w:r w:rsidR="005A3752">
        <w:instrText>±</w:instrText>
      </w:r>
      <w:r w:rsidR="005A3752">
        <w:rPr>
          <w:rFonts w:ascii="Arial" w:hAnsi="Arial" w:cs="Arial"/>
        </w:rPr>
        <w:instrText> </w:instrText>
      </w:r>
      <w:r w:rsidR="005A3752">
        <w:instrText>13%, admitted with an acute hypercapnic exacerbation of COPD and receiving a first-ever NIV treatment between 2000 and 2012.\nRESULTS: A total of 40% of the patients required hospital readmission due to respiratory reasons within 1 year. Persistent hypercapnia leading to the prescription of domiciliary NIV, older age and lower body mass index (BMI) were risk factors for readmission due to respiratory reasons. Survival rates were 79% and 63% at 1 and 2 years after discharge, respectively. A shorter time to readmission and recurrent hypercapnic failure, lower BMI and acidemia on the first admission, as well as hypercapnia at hospital discharge were correlated with a decreased long-term survival.\nCONCLUSION: Patients with COPD surviving their first episode of AHRF requiring NIV are at high risk for readmission and death. Severe respiratory acidosis, chronic respiratory failure and a lower BMI imply shorter long-term survival.","container-title":"Wiener Klinische Wochenschrift","DOI":"10.1007/s00508-018-1364-6","ISSN":"1613-7671","issue":"19-20","journalAbbreviation":"Wien Klin Wochenschr","language":"eng","note":"PMID: 30066095\nPMCID: PMC6209011","page":"561-568","source":"PubMed","title":"Long-term outcomes after acute hypercapnic COPD exacerbation : First-ever episode of non-invasive ventilation","title-short":"Long-term outcomes after acute hypercapnic COPD exacerbation","volume":"130","author":[{"family":"Fazekas","given":"Andreas S."},{"family":"Aboulghaith","given":"Mei"},{"family":"Kriz","given":"Ruxandra C."},{"family":"Urban","given":"Matthias"},{"family":"Breyer","given":"Marie-Kathrin"},{"family":"Breyer-Kohansal","given":"Robab"},{"family":"Burghuber","given":"Otto-Chris"},{"family":"Hartl","given":"Sylvia"},{"family":"Funk","given":"Georg-Christian"}],"issued":{"date-parts":[["2018",10]]}}},{"id":892,"uris":["http://zotero.org/users/16023988/items/NSUZ37SE"],"itemData":{"id":892,"type":"article-journal","abstract":"OBJECTIVES: Lung-protective ventilation is used to prevent further lung injury in patients on invasive mechanical ventilation. However, lung-protective ventilation can cause hypercapnia and hypercapnic acidosis. There are no large clinical studies evaluating the effects of hypercapnia and hypercapnic acidosis in patients requiring mechanical ventilation.\nDESIGN: Multicenter, binational, retrospective study aimed to assess the impact of compensated hypercapnia and hypercapnic acidosis in patients receiving mechanical ventilation.\nSETTINGS: Data were extracted from the Australian and New Zealand Intensive Care Society Centre for Outcome and Resource Evaluation Adult Patient Database over a 14-year period where 171 ICUs contributed deidentified data.\nPATIENTS: Patients were classified into three groups based on a combination of pH and carbon dioxide levels (normocapnia and normal pH, compensated hypercapnia [normal pH with elevated carbon dioxide], and hypercapnic acidosis) during the first 24 hours of ICU stay. Logistic regression analysis was used to identify the independent association of hypercapnia and hypercapnic acidosis with hospital mortality.\nINTERVENTIONS: Nil.\nMEASUREMENTS AND MAIN RESULTS: A total of 252,812 patients (normocapnia and normal pH, 110,104; compensated hypercapnia, 20,463; and hypercapnic acidosis, 122,245) were included in analysis. Patients with compensated hypercapnia and hypercapnic acidosis had higher Acute Physiology and Chronic Health Evaluation III scores (49.2 vs 53.2 vs 68.6; p &lt; 0.01). The mortality was higher in hypercapnic acidosis patients when compared with other groups, with the lowest mortality in patients with normocapnia and normal pH. After adjusting for severity of illness, the adjusted odds ratio for hospital mortality was higher in hypercapnic acidosis patients (odds ratio, 1.74; 95% CI, 1.62-1.88) and compensated hypercapnia (odds ratio, 1.18; 95% CI, 1.10-1.26) when compared with patients with normocapnia and normal pH (p &lt; 0.001). In patients with hypercapnic acidosis, the mortality increased with increasing PCO2 until 65</w:instrText>
      </w:r>
      <w:r w:rsidR="005A3752">
        <w:rPr>
          <w:rFonts w:ascii="Arial" w:hAnsi="Arial" w:cs="Arial"/>
        </w:rPr>
        <w:instrText> </w:instrText>
      </w:r>
      <w:r w:rsidR="005A3752">
        <w:instrText xml:space="preserve">mm Hg after which the mortality plateaued.\nCONCLUSIONS: Hypercapnic acidosis during the first 24 hours of intensive care admission is more strongly associated with increased hospital mortality than compensated hypercapnia or normocapnia.","container-title":"Critical Care Medicine","DOI":"10.1097/CCM.0000000000002332","ISSN":"1530-0293","issue":"7","journalAbbreviation":"Crit Care Med","language":"eng","note":"PMID: 28406813","page":"e649-e656","source":"PubMed","title":"Effects of Hypercapnia and Hypercapnic Acidosis on Hospital Mortality in Mechanically Ventilated Patients","volume":"45","author":[{"family":"Tiruvoipati","given":"Ravindranath"},{"family":"Pilcher","given":"David"},{"family":"Buscher","given":"Hergen"},{"family":"Botha","given":"John"},{"family":"Bailey","given":"Michael"}],"issued":{"date-parts":[["2017",7]]}}},{"id":941,"uris":["http://zotero.org/users/16023988/items/923WKP54"],"itemData":{"id":941,"type":"article-journal","abstract":"BACKGROUND: Several studies suggest a high prevalence and disease burden associated with hypercapnic respiratory failure of any cause in emergency department (ED) and inpatient settings. However, these studies use different case definitions. The consistency and validity of these case definitions have not been assessed.\nRESEARCH QUESTIONS: Do the various case definitions from health record-based studies of adults with hypercapnic respiratory failure identify the same, or similar, patients?\nMETHODS: We identified case definitions for hypercapnic respiratory failure from the peer-reviewed literature. We constructed an emulation data set enriched for the presence of hypercapnic respiratory failure from TriNetX (TriNetX, LLC), which aggregates health records from 76 hospitals in the United States. Adult ED and inpatient encounters occurring in 2022 were eligible for inclusion. We assessed consistency among case definitions by applying them to the emulation data set on the day of ED or hospital admission. We calculated Cohen's κ value and compared the patient characteristics and short-term outcomes for the cohorts defined by each case definition. We evaluated the accuracy of hypercapnic respiratory failure diagnosis codes for capturing hypercapnia demonstrated on first-day arterial blood gas samples.\nRESULTS: Ten case definitions for hypercapnic respiratory failure were identified and were amenable to emulation. The emulation data set contained 515,286 encounters. Case definitions showed limited agreement (median κ = 0.35; interquartile range, 0.21-0.56) for hypercapnic respiratory failure identification. Key demographic characteristics, comorbidities, and outcomes such as receiving ventilatory support (range, 29%-100%) and 60-day mortality (range, 12%-28%) varied substantially among the resulting cohorts. Diagnosis codes were insensitive for capturing first-day arterial blood gas-demonstrated hypercapnia (sensitivity, 23.5%; 95% CI, 23.1%-23.8%).\nINTERPRETATION: Case definitions from studies of hypercapnic respiratory failure identify patients with widely different attributes and outcomes, thereby hampering interpretation of associated study findings. Standardization of case definitions is necessary to improve the rigor and generalizability of research on hypercapnic respiratory failure.","container-title":"Chest","DOI":"10.1016/j.chest.2025.08.002","ISSN":"1931-3543","journalAbbreviation":"Chest","language":"eng","note":"PMID: 40885535","page":"S0012-3692(25)05126-8","source":"PubMed","title":"The Consistency of Hypercapnic Respiratory Failure Case Definitions in Electronic Health Record Data","author":[{"family":"Locke","given":"Brian W."},{"family":"Richards","given":"W. Wayne"},{"family":"Gouripeddi","given":"Ramkiran"},{"family":"Brown","given":"Jeanette P."},{"family":"Anderson-Bell","given":"Dustin"},{"family":"Finkelstein","given":"Joseph"},{"family":"Sundar","given":"Krishna M."},{"family":"Peltan","given":"Ithan D."},{"family":"Brown","given":"Samuel M."}],"issued":{"date-parts":[["2025",8,28]]}}}],"schema":"https://github.com/citation-style-language/schema/raw/master/csl-citation.json"} </w:instrText>
      </w:r>
      <w:r w:rsidR="00FC5A12">
        <w:fldChar w:fldCharType="separate"/>
      </w:r>
      <w:r w:rsidR="005A3752" w:rsidRPr="005A3752">
        <w:rPr>
          <w:rFonts w:ascii="Aptos" w:cs="Times New Roman"/>
          <w:kern w:val="0"/>
          <w:vertAlign w:val="superscript"/>
        </w:rPr>
        <w:t>1–6</w:t>
      </w:r>
      <w:r w:rsidR="00FC5A12">
        <w:fldChar w:fldCharType="end"/>
      </w:r>
      <w:r>
        <w:t xml:space="preserve"> However, </w:t>
      </w:r>
      <w:r w:rsidR="00F14FA7">
        <w:t xml:space="preserve">the diagnostic gold standard of arterial </w:t>
      </w:r>
      <w:r w:rsidR="002934ED">
        <w:t xml:space="preserve">blood gas (ABG) </w:t>
      </w:r>
      <w:r w:rsidR="00F14FA7">
        <w:t>sampling</w:t>
      </w:r>
      <w:r w:rsidR="008940FB">
        <w:t xml:space="preserve"> requires expertise and</w:t>
      </w:r>
      <w:r w:rsidR="00F14FA7">
        <w:t xml:space="preserve"> has significant drawbacks to regular performance such as pain and complications </w:t>
      </w:r>
      <w:r w:rsidR="00331C5E">
        <w:t>including</w:t>
      </w:r>
      <w:r w:rsidR="00F14FA7">
        <w:t xml:space="preserve"> arterial injury</w:t>
      </w:r>
      <w:r w:rsidR="005279F0">
        <w:t xml:space="preserve">, </w:t>
      </w:r>
      <w:r w:rsidR="00F14FA7">
        <w:t>thrombosis</w:t>
      </w:r>
      <w:r w:rsidR="005279F0">
        <w:t>, and blood stream infections</w:t>
      </w:r>
      <w:r w:rsidR="002C7987">
        <w:t>.</w:t>
      </w:r>
      <w:r w:rsidR="005279F0">
        <w:fldChar w:fldCharType="begin"/>
      </w:r>
      <w:r w:rsidR="005A3752">
        <w:instrText xml:space="preserve"> ADDIN ZOTERO_ITEM CSL_CITATION {"citationID":"99Rr16lx","properties":{"formattedCitation":"\\super 7,8\\nosupersub{}","plainCitation":"7,8","noteIndex":0},"citationItems":[{"id":901,"uris":["http://zotero.org/users/16023988/items/T57B7UKD"],"itemData":{"id":901,"type":"article-journal","abstract":"This study aimed to analyze the incidence of complications resulting from the use of an indwelling arterial catheter (IAC). We compared the characteristics of the patients with an IAC who developed complications with those who did not present any complications. The study included 1,869 patients with an IAC hospitalized in intensive care units (ICUs) between 2017 and 2018. Most patients were male (58.7%), in the seventh decade of life, and had systemic arterial hypertension. The most common site of IAC implantation was the radial artery. Fifty-four (2.88%) cases of complications related to an IAC were identified including bleeding, hematomas, and thrombosis. Female patients had a higher risk of complications (P = .030). Comorbidities such as arrhythmias (P &lt; .001) and peripheral arterial disease (P = .041) also increased that risk. The use of vasoactive drugs (P = .001), hemodialysis (P = .001), and orotracheal intubation (OTI) (P = .001) was significantly associated with the occurrence of complications as well as length of stay in ICUs (P &lt; .001) and IAC duration (P = .001). IACs are safe devices commonly used in ICUs, with an incidence of complications of 2.88%.","container-title":"Angiology","DOI":"10.1177/00033197211052127","ISSN":"1940-1574","issue":"5","journalAbbreviation":"Angiology","language":"eng","note":"PMID: 34753344","page":"431-437","source":"PubMed","title":"Retrospective Observational Single-Center Study of Complications of Arterial Indwelling Catheters for Invasive Blood Pressure in Intensive Care Unit Patients","volume":"73","author":[{"family":"Baptistella","given":"Conrado Dias Pacheco Annicchino"},{"family":"Mendes","given":"Cynthia de Almeida"},{"family":"Silva","given":"Marcela Juliano"},{"family":"Wolosker","given":"Nelson"}],"issued":{"date-parts":[["2022",5]]}}},{"id":898,"uris":["http://zotero.org/users/16023988/items/GPLEXBM6"],"itemData":{"id":898,"type":"article-journal","abstract":"In order to evaluate the complications and risk factors associated with peripheral arterial catheters used for haemodynamic monitoring, we reviewed the literature published from 1978 to 2001. We closely examined the three most commonly used arterial cannulation sites. The reviewed papers included a total of 19,617 radial, 3899 femoral and 1989 axillary artery catheterizations. Factors that contribute to higher complication rates were investigated. Major complications occurred in fewer than 1% of the cases, and rates were similar for the radial, femoral and axillary arteries. We conclude that arterial cannulation is a safe procedure.","container-title":"Critical Care (London, England)","DOI":"10.1186/cc1489","ISSN":"1364-8535","issue":"3","journalAbbreviation":"Crit Care","language":"eng","note":"PMID: 12133178\nPMCID: PMC137445","page":"199-204","source":"PubMed","title":"Clinical review: complications and risk factors of peripheral arterial catheters used for haemodynamic monitoring in anaesthesia and intensive care medicine","title-short":"Clinical review","volume":"6","author":[{"family":"Scheer","given":"Bernd"},{"family":"Perel","given":"Azriel"},{"family":"Pfeiffer","given":"Ulrich J."}],"issued":{"date-parts":[["2002",6]]}}}],"schema":"https://github.com/citation-style-language/schema/raw/master/csl-citation.json"} </w:instrText>
      </w:r>
      <w:r w:rsidR="005279F0">
        <w:fldChar w:fldCharType="separate"/>
      </w:r>
      <w:r w:rsidR="005A3752" w:rsidRPr="005A3752">
        <w:rPr>
          <w:rFonts w:ascii="Aptos" w:cs="Times New Roman"/>
          <w:kern w:val="0"/>
          <w:vertAlign w:val="superscript"/>
        </w:rPr>
        <w:t>7,8</w:t>
      </w:r>
      <w:r w:rsidR="005279F0">
        <w:fldChar w:fldCharType="end"/>
      </w:r>
      <w:r w:rsidR="002C7987">
        <w:t xml:space="preserve"> </w:t>
      </w:r>
      <w:commentRangeStart w:id="2"/>
      <w:r w:rsidR="005F184A">
        <w:t>T</w:t>
      </w:r>
      <w:r w:rsidR="00F14FA7">
        <w:t>ranscutaneous</w:t>
      </w:r>
      <w:commentRangeEnd w:id="2"/>
      <w:r w:rsidR="009507B7">
        <w:rPr>
          <w:rStyle w:val="CommentReference"/>
        </w:rPr>
        <w:commentReference w:id="2"/>
      </w:r>
      <w:r w:rsidR="00F14FA7">
        <w:t xml:space="preserve"> CO</w:t>
      </w:r>
      <w:r w:rsidR="00243FAA" w:rsidRPr="008477EE">
        <w:rPr>
          <w:vertAlign w:val="subscript"/>
        </w:rPr>
        <w:t>2</w:t>
      </w:r>
      <w:r w:rsidR="00F14FA7">
        <w:t xml:space="preserve"> monitoring (TcCO</w:t>
      </w:r>
      <w:r w:rsidR="00243FAA" w:rsidRPr="008477EE">
        <w:rPr>
          <w:vertAlign w:val="subscript"/>
        </w:rPr>
        <w:t>2</w:t>
      </w:r>
      <w:r w:rsidR="00F14FA7">
        <w:t xml:space="preserve">) </w:t>
      </w:r>
      <w:r w:rsidR="005F184A">
        <w:t>offers a potential alternative</w:t>
      </w:r>
      <w:r w:rsidR="00E73970">
        <w:t xml:space="preserve"> unmarred by </w:t>
      </w:r>
      <w:r w:rsidR="005F184A">
        <w:t>such issues</w:t>
      </w:r>
      <w:r w:rsidR="00E23BC7">
        <w:t xml:space="preserve">, </w:t>
      </w:r>
      <w:r w:rsidR="005F184A">
        <w:t xml:space="preserve">though its adoption has been limited by </w:t>
      </w:r>
      <w:r w:rsidR="002C7987" w:rsidRPr="002C7987">
        <w:t xml:space="preserve">concerns that its ability to detect hypercapnia may be insufficient to warrant widespread clinic </w:t>
      </w:r>
      <w:commentRangeStart w:id="3"/>
      <w:r w:rsidR="002C7987" w:rsidRPr="002C7987">
        <w:t>implementation</w:t>
      </w:r>
      <w:r w:rsidR="005F184A" w:rsidRPr="002C7987">
        <w:t>.</w:t>
      </w:r>
      <w:commentRangeEnd w:id="3"/>
      <w:r w:rsidR="009507B7">
        <w:rPr>
          <w:rStyle w:val="CommentReference"/>
        </w:rPr>
        <w:commentReference w:id="3"/>
      </w:r>
      <w:r w:rsidR="002C7987">
        <w:fldChar w:fldCharType="begin"/>
      </w:r>
      <w:r w:rsidR="005A3752">
        <w:instrText xml:space="preserve"> ADDIN ZOTERO_ITEM CSL_CITATION {"citationID":"pxyUJ8U5","properties":{"formattedCitation":"\\super 9,10\\nosupersub{}","plainCitation":"9,10","noteIndex":0},"citationItems":[{"id":905,"uris":["http://zotero.org/users/16023988/items/7PSFFXST"],"itemData":{"id":905,"type":"article-journal","abstract":"BACKGROUND: Transcutaneous carbon dioxide (Ptcco2) measurement is a non-invasive surrogate marker for arterial carbon dioxide (Paco2), which requires invasive arterial blood sampling. Use of Ptcco2 has been examined in different clinical settings, however, most existing evidence in the adult emergency department (ED) setting shows insufficient agreement between the measurements. This study assessed the level of agreement between Ptcco2 and Paco2 in undifferentiated adult ED patients across multiple timepoints.\nMETHODS: This prospective observational study (study period 2020-2021) assessed paired Ptcco2 and Paco2 measurements at four consecutive timepoints (0, 30, 60 and 90</w:instrText>
      </w:r>
      <w:r w:rsidR="005A3752">
        <w:rPr>
          <w:rFonts w:ascii="Arial" w:hAnsi="Arial" w:cs="Arial"/>
        </w:rPr>
        <w:instrText> </w:instrText>
      </w:r>
      <w:r w:rsidR="005A3752">
        <w:instrText>min) in adult (aged 18 years or over) Australian ED patients requiring hospital admission and arterial catheter insertion. Agreement between the pairs was assessed using Bland-Altman analysis. It was prospectively determined by expert consensus that limits of ±4</w:instrText>
      </w:r>
      <w:r w:rsidR="005A3752">
        <w:rPr>
          <w:rFonts w:ascii="Arial" w:hAnsi="Arial" w:cs="Arial"/>
        </w:rPr>
        <w:instrText> </w:instrText>
      </w:r>
      <w:r w:rsidR="005A3752">
        <w:instrText>mm</w:instrText>
      </w:r>
      <w:r w:rsidR="005A3752">
        <w:rPr>
          <w:rFonts w:ascii="Arial" w:hAnsi="Arial" w:cs="Arial"/>
        </w:rPr>
        <w:instrText> </w:instrText>
      </w:r>
      <w:r w:rsidR="005A3752">
        <w:instrText>Hg would be a clinically acceptable level of agreement between Ptcco2 and Paco2.\nRESULTS: During the study period 168 paired Ptcco2 and Paco2 readings were taken from 42 adult ED patients. Bland-Altman analysis showed a mean Ptcco2 reading 3.85</w:instrText>
      </w:r>
      <w:r w:rsidR="005A3752">
        <w:rPr>
          <w:rFonts w:ascii="Arial" w:hAnsi="Arial" w:cs="Arial"/>
        </w:rPr>
        <w:instrText> </w:instrText>
      </w:r>
      <w:r w:rsidR="005A3752">
        <w:instrText>mm</w:instrText>
      </w:r>
      <w:r w:rsidR="005A3752">
        <w:rPr>
          <w:rFonts w:ascii="Arial" w:hAnsi="Arial" w:cs="Arial"/>
        </w:rPr>
        <w:instrText> </w:instrText>
      </w:r>
      <w:r w:rsidR="005A3752">
        <w:instrText>Hg higher than Paco2, although at each timepoint the 95% CIs breached the limit of 4</w:instrText>
      </w:r>
      <w:r w:rsidR="005A3752">
        <w:rPr>
          <w:rFonts w:ascii="Arial" w:hAnsi="Arial" w:cs="Arial"/>
        </w:rPr>
        <w:instrText> </w:instrText>
      </w:r>
      <w:r w:rsidR="005A3752">
        <w:instrText>mm</w:instrText>
      </w:r>
      <w:r w:rsidR="005A3752">
        <w:rPr>
          <w:rFonts w:ascii="Arial" w:hAnsi="Arial" w:cs="Arial"/>
        </w:rPr>
        <w:instrText> </w:instrText>
      </w:r>
      <w:r w:rsidR="005A3752">
        <w:instrText>Hg difference. In addition, only 66% (111/168) of results fell within the clinically acceptable range.\nCONCLUSION: The level of agreement between Ptcco2 and Paco2 measurements may not be sufficiently precise for the adoption of Ptcco2 monitoring in patients presenting to the ED.","container-title":"Emergency medicine journal: EMJ","DOI":"10.1136/emermed-2022-212465","ISSN":"1472-0213","issue":"9","journalAbbreviation":"Emerg Med J","language":"eng","note":"PMID: 37479485","page":"646-650","source":"PubMed","title":"Prospective, observational study investigating the level of agreement between transcutaneous and invasive carbon dioxide measurements in critically ill emergency department patients","volume":"40","author":[{"family":"Farenden","given":"Scott"},{"family":"Chung","given":"Yewon"},{"family":"Cui","given":"Amy"},{"family":"Ferguson","given":"Ian"}],"issued":{"date-parts":[["2023",9]]}}},{"id":903,"uris":["http://zotero.org/users/16023988/items/9LHSEZXG"],"itemData":{"id":903,"type":"article-journal","abstract":"BACKGROUND: Transcutaneous carbon dioxide (TcCO2) monitoring is a non-invasive alternative to arterial blood sampling. The aim of this review was to determine the accuracy and precision of TcCO2 measurements.\nMETHODS: Medline and EMBASE (2000-2016) were searched for studies that reported on a measurement of PaCO2 that coincided with a measurement of TcCO2. Study selection and quality assessment (using the revised Quality Assessment of Diagnostic Accuracy Studies tool (QUADAS-2)) were performed independently. The Grading Quality of Evidence and Strength of Recommendation approach was used to summarise the strength of the body of evidence. Pooled estimates of the mean bias between TcCO2 and PaCO2 and limits of agreement with outer 95% CIs (termed population limits of agreement) were calculated.\nRESULTS: The mean bias was -0.1</w:instrText>
      </w:r>
      <w:r w:rsidR="005A3752">
        <w:rPr>
          <w:rFonts w:ascii="Arial" w:hAnsi="Arial" w:cs="Arial"/>
        </w:rPr>
        <w:instrText> </w:instrText>
      </w:r>
      <w:r w:rsidR="005A3752">
        <w:instrText>mm Hg and the population limits of agreement were -15 to 15</w:instrText>
      </w:r>
      <w:r w:rsidR="005A3752">
        <w:rPr>
          <w:rFonts w:ascii="Arial" w:hAnsi="Arial" w:cs="Arial"/>
        </w:rPr>
        <w:instrText> </w:instrText>
      </w:r>
      <w:r w:rsidR="005A3752">
        <w:instrText>mm Hg for 7021 paired measurements taken from 2817 participants in 73 studies, which was outside of the clinically acceptable range (7.5</w:instrText>
      </w:r>
      <w:r w:rsidR="005A3752">
        <w:rPr>
          <w:rFonts w:ascii="Arial" w:hAnsi="Arial" w:cs="Arial"/>
        </w:rPr>
        <w:instrText> </w:instrText>
      </w:r>
      <w:r w:rsidR="005A3752">
        <w:instrText>mm Hg). The lowest PaCO2 reported in the studies was 18</w:instrText>
      </w:r>
      <w:r w:rsidR="005A3752">
        <w:rPr>
          <w:rFonts w:ascii="Arial" w:hAnsi="Arial" w:cs="Arial"/>
        </w:rPr>
        <w:instrText> </w:instrText>
      </w:r>
      <w:r w:rsidR="005A3752">
        <w:instrText>mm Hg and the highest was 103</w:instrText>
      </w:r>
      <w:r w:rsidR="005A3752">
        <w:rPr>
          <w:rFonts w:ascii="Arial" w:hAnsi="Arial" w:cs="Arial"/>
        </w:rPr>
        <w:instrText> </w:instrText>
      </w:r>
      <w:r w:rsidR="005A3752">
        <w:instrText>mm Hg. The major sources of inconsistency were sensor location and temperature. The population limits of agreement were within the clinically acceptable range across 3974 paired measurements from 1786 participants in 44 studies that applied the sensor to the earlobe using the TOSCA and Sentec devices (-6 to 6</w:instrText>
      </w:r>
      <w:r w:rsidR="005A3752">
        <w:rPr>
          <w:rFonts w:ascii="Arial" w:hAnsi="Arial" w:cs="Arial"/>
        </w:rPr>
        <w:instrText> </w:instrText>
      </w:r>
      <w:r w:rsidR="005A3752">
        <w:instrText xml:space="preserve">mm Hg).\nCONCLUSION: There are substantial differences between TcCO2 and PaCO2 depending on the context in which this technology is used. TcCO2 sensors should preferentially be applied to the earlobe and users should consider setting the temperature of the sensor higher than 42°C when monitoring at other sites.\nSYSTEMATIC REVIEW REGISTRATION NUMBER: PROSPERO; CRD42017057450.","container-title":"Thorax","DOI":"10.1136/thoraxjnl-2017-211466","ISSN":"1468-3296","issue":"2","journalAbbreviation":"Thorax","language":"eng","note":"PMID: 30209079","page":"157-163","source":"PubMed","title":"Accuracy and precision of transcutaneous carbon dioxide monitoring: a systematic review and meta-analysis","title-short":"Accuracy and precision of transcutaneous carbon dioxide monitoring","volume":"74","author":[{"family":"Conway","given":"Aaron"},{"family":"Tipton","given":"Elizabeth"},{"family":"Liu","given":"Wei-Hong"},{"family":"Conway","given":"Zachary"},{"family":"Soalheira","given":"Kathleen"},{"family":"Sutherland","given":"Joanna"},{"family":"Fingleton","given":"James"}],"issued":{"date-parts":[["2019",2]]}}}],"schema":"https://github.com/citation-style-language/schema/raw/master/csl-citation.json"} </w:instrText>
      </w:r>
      <w:r w:rsidR="002C7987">
        <w:fldChar w:fldCharType="separate"/>
      </w:r>
      <w:r w:rsidR="005A3752" w:rsidRPr="005A3752">
        <w:rPr>
          <w:rFonts w:ascii="Aptos" w:cs="Times New Roman"/>
          <w:kern w:val="0"/>
          <w:vertAlign w:val="superscript"/>
        </w:rPr>
        <w:t>9,10</w:t>
      </w:r>
      <w:r w:rsidR="002C7987">
        <w:fldChar w:fldCharType="end"/>
      </w:r>
      <w:r w:rsidR="005F184A">
        <w:t xml:space="preserve"> In the present simulation we aim to evaluate the accuracy of TcCO</w:t>
      </w:r>
      <w:r w:rsidR="00243FAA" w:rsidRPr="008477EE">
        <w:rPr>
          <w:vertAlign w:val="subscript"/>
        </w:rPr>
        <w:t>2</w:t>
      </w:r>
      <w:r w:rsidR="005F184A">
        <w:t xml:space="preserve"> to identify hypercapnia </w:t>
      </w:r>
      <w:commentRangeStart w:id="4"/>
      <w:r w:rsidR="005F184A">
        <w:t>based on existing data.</w:t>
      </w:r>
      <w:commentRangeEnd w:id="4"/>
      <w:r w:rsidR="00142523">
        <w:rPr>
          <w:rStyle w:val="CommentReference"/>
        </w:rPr>
        <w:commentReference w:id="4"/>
      </w:r>
    </w:p>
    <w:p w14:paraId="5582CD98" w14:textId="77777777" w:rsidR="00F14FA7" w:rsidRDefault="00F14FA7" w:rsidP="00F14FA7"/>
    <w:p w14:paraId="1616296C" w14:textId="77777777" w:rsidR="00F14FA7" w:rsidRPr="00F70102" w:rsidRDefault="00F14FA7" w:rsidP="00F14FA7">
      <w:pPr>
        <w:rPr>
          <w:b/>
          <w:bCs/>
        </w:rPr>
      </w:pPr>
      <w:r w:rsidRPr="00F70102">
        <w:rPr>
          <w:b/>
          <w:bCs/>
        </w:rPr>
        <w:t xml:space="preserve">Methods: </w:t>
      </w:r>
    </w:p>
    <w:p w14:paraId="627146CE" w14:textId="44D6BA0D" w:rsidR="00C40604" w:rsidRDefault="00F14FA7" w:rsidP="00F14FA7">
      <w:commentRangeStart w:id="5"/>
      <w:r>
        <w:t xml:space="preserve">The </w:t>
      </w:r>
      <w:proofErr w:type="spellStart"/>
      <w:r>
        <w:t>TriNetX</w:t>
      </w:r>
      <w:proofErr w:type="spellEnd"/>
      <w:r>
        <w:t xml:space="preserve"> </w:t>
      </w:r>
      <w:r w:rsidR="00F923BF">
        <w:t xml:space="preserve">network </w:t>
      </w:r>
      <w:r w:rsidRPr="00F923BF">
        <w:t>database</w:t>
      </w:r>
      <w:r w:rsidR="00A478B3" w:rsidRPr="00F923BF">
        <w:t xml:space="preserve"> </w:t>
      </w:r>
      <w:commentRangeEnd w:id="5"/>
      <w:r w:rsidR="00D0284B">
        <w:rPr>
          <w:rStyle w:val="CommentReference"/>
        </w:rPr>
        <w:commentReference w:id="5"/>
      </w:r>
      <w:r w:rsidR="00A478B3" w:rsidRPr="00F923BF">
        <w:t>(</w:t>
      </w:r>
      <w:r w:rsidR="00F923BF" w:rsidRPr="00F923BF">
        <w:t>which provided access to electronic medical records (diagnoses, procedures, medications, laboratory values, genomic information) from approximately 115 million patients from 75 healthcare organizations</w:t>
      </w:r>
      <w:r w:rsidR="00A478B3" w:rsidRPr="00F923BF">
        <w:t>)</w:t>
      </w:r>
      <w:r>
        <w:t xml:space="preserve"> was accessed </w:t>
      </w:r>
      <w:r w:rsidR="00F923BF">
        <w:t xml:space="preserve">on 06/02/2023 </w:t>
      </w:r>
      <w:r>
        <w:t>for all encounters in which a</w:t>
      </w:r>
      <w:r w:rsidR="00E23BC7">
        <w:t>n arterial CO2</w:t>
      </w:r>
      <w:r>
        <w:t xml:space="preserve"> </w:t>
      </w:r>
      <w:r w:rsidR="00E23BC7">
        <w:t>(</w:t>
      </w:r>
      <w:r>
        <w:t>PaCO</w:t>
      </w:r>
      <w:r w:rsidR="00243FAA" w:rsidRPr="008477EE">
        <w:rPr>
          <w:vertAlign w:val="subscript"/>
        </w:rPr>
        <w:t>2</w:t>
      </w:r>
      <w:r w:rsidR="00E23BC7">
        <w:t>)</w:t>
      </w:r>
      <w:r>
        <w:t xml:space="preserve"> was obtained. </w:t>
      </w:r>
      <w:r w:rsidR="00046A59">
        <w:t>For each PaCO</w:t>
      </w:r>
      <w:r w:rsidR="00243FAA" w:rsidRPr="008477EE">
        <w:rPr>
          <w:vertAlign w:val="subscript"/>
        </w:rPr>
        <w:t>2</w:t>
      </w:r>
      <w:r w:rsidR="00046A59">
        <w:t xml:space="preserve"> value, w</w:t>
      </w:r>
      <w:r>
        <w:t xml:space="preserve">e simulated </w:t>
      </w:r>
      <w:r w:rsidR="00046A59">
        <w:t xml:space="preserve">a </w:t>
      </w:r>
      <w:r>
        <w:t>corresponding TcCO</w:t>
      </w:r>
      <w:r w:rsidR="00243FAA" w:rsidRPr="008477EE">
        <w:rPr>
          <w:vertAlign w:val="subscript"/>
        </w:rPr>
        <w:t>2</w:t>
      </w:r>
      <w:r>
        <w:t xml:space="preserve"> reading</w:t>
      </w:r>
      <w:r w:rsidR="00046A59">
        <w:t xml:space="preserve"> </w:t>
      </w:r>
      <w:r>
        <w:t>using results from a meta-analysis by Conway et al.</w:t>
      </w:r>
      <w:r w:rsidR="00753C2D">
        <w:fldChar w:fldCharType="begin"/>
      </w:r>
      <w:r w:rsidR="005A3752">
        <w:instrText xml:space="preserve"> ADDIN ZOTERO_ITEM CSL_CITATION {"citationID":"2YMHDYit","properties":{"formattedCitation":"\\super 10\\nosupersub{}","plainCitation":"10","noteIndex":0},"citationItems":[{"id":903,"uris":["http://zotero.org/users/16023988/items/9LHSEZXG"],"itemData":{"id":903,"type":"article-journal","abstract":"BACKGROUND: Transcutaneous carbon dioxide (TcCO2) monitoring is a non-invasive alternative to arterial blood sampling. The aim of this review was to determine the accuracy and precision of TcCO2 measurements.\nMETHODS: Medline and EMBASE (2000-2016) were searched for studies that reported on a measurement of PaCO2 that coincided with a measurement of TcCO2. Study selection and quality assessment (using the revised Quality Assessment of Diagnostic Accuracy Studies tool (QUADAS-2)) were performed independently. The Grading Quality of Evidence and Strength of Recommendation approach was used to summarise the strength of the body of evidence. Pooled estimates of the mean bias between TcCO2 and PaCO2 and limits of agreement with outer 95% CIs (termed population limits of agreement) were calculated.\nRESULTS: The mean bias was -0.1</w:instrText>
      </w:r>
      <w:r w:rsidR="005A3752">
        <w:rPr>
          <w:rFonts w:ascii="Arial" w:hAnsi="Arial" w:cs="Arial"/>
        </w:rPr>
        <w:instrText> </w:instrText>
      </w:r>
      <w:r w:rsidR="005A3752">
        <w:instrText>mm Hg and the population limits of agreement were -15 to 15</w:instrText>
      </w:r>
      <w:r w:rsidR="005A3752">
        <w:rPr>
          <w:rFonts w:ascii="Arial" w:hAnsi="Arial" w:cs="Arial"/>
        </w:rPr>
        <w:instrText> </w:instrText>
      </w:r>
      <w:r w:rsidR="005A3752">
        <w:instrText>mm Hg for 7021 paired measurements taken from 2817 participants in 73 studies, which was outside of the clinically acceptable range (7.5</w:instrText>
      </w:r>
      <w:r w:rsidR="005A3752">
        <w:rPr>
          <w:rFonts w:ascii="Arial" w:hAnsi="Arial" w:cs="Arial"/>
        </w:rPr>
        <w:instrText> </w:instrText>
      </w:r>
      <w:r w:rsidR="005A3752">
        <w:instrText>mm Hg). The lowest PaCO2 reported in the studies was 18</w:instrText>
      </w:r>
      <w:r w:rsidR="005A3752">
        <w:rPr>
          <w:rFonts w:ascii="Arial" w:hAnsi="Arial" w:cs="Arial"/>
        </w:rPr>
        <w:instrText> </w:instrText>
      </w:r>
      <w:r w:rsidR="005A3752">
        <w:instrText>mm Hg and the highest was 103</w:instrText>
      </w:r>
      <w:r w:rsidR="005A3752">
        <w:rPr>
          <w:rFonts w:ascii="Arial" w:hAnsi="Arial" w:cs="Arial"/>
        </w:rPr>
        <w:instrText> </w:instrText>
      </w:r>
      <w:r w:rsidR="005A3752">
        <w:instrText>mm Hg. The major sources of inconsistency were sensor location and temperature. The population limits of agreement were within the clinically acceptable range across 3974 paired measurements from 1786 participants in 44 studies that applied the sensor to the earlobe using the TOSCA and Sentec devices (-6 to 6</w:instrText>
      </w:r>
      <w:r w:rsidR="005A3752">
        <w:rPr>
          <w:rFonts w:ascii="Arial" w:hAnsi="Arial" w:cs="Arial"/>
        </w:rPr>
        <w:instrText> </w:instrText>
      </w:r>
      <w:r w:rsidR="005A3752">
        <w:instrText xml:space="preserve">mm Hg).\nCONCLUSION: There are substantial differences between TcCO2 and PaCO2 depending on the context in which this technology is used. TcCO2 sensors should preferentially be applied to the earlobe and users should consider setting the temperature of the sensor higher than 42°C when monitoring at other sites.\nSYSTEMATIC REVIEW REGISTRATION NUMBER: PROSPERO; CRD42017057450.","container-title":"Thorax","DOI":"10.1136/thoraxjnl-2017-211466","ISSN":"1468-3296","issue":"2","journalAbbreviation":"Thorax","language":"eng","note":"PMID: 30209079","page":"157-163","source":"PubMed","title":"Accuracy and precision of transcutaneous carbon dioxide monitoring: a systematic review and meta-analysis","title-short":"Accuracy and precision of transcutaneous carbon dioxide monitoring","volume":"74","author":[{"family":"Conway","given":"Aaron"},{"family":"Tipton","given":"Elizabeth"},{"family":"Liu","given":"Wei-Hong"},{"family":"Conway","given":"Zachary"},{"family":"Soalheira","given":"Kathleen"},{"family":"Sutherland","given":"Joanna"},{"family":"Fingleton","given":"James"}],"issued":{"date-parts":[["2019",2]]}}}],"schema":"https://github.com/citation-style-language/schema/raw/master/csl-citation.json"} </w:instrText>
      </w:r>
      <w:r w:rsidR="00753C2D">
        <w:fldChar w:fldCharType="separate"/>
      </w:r>
      <w:r w:rsidR="005A3752" w:rsidRPr="005A3752">
        <w:rPr>
          <w:rFonts w:ascii="Aptos" w:cs="Times New Roman"/>
          <w:kern w:val="0"/>
          <w:vertAlign w:val="superscript"/>
        </w:rPr>
        <w:t>10</w:t>
      </w:r>
      <w:r w:rsidR="00753C2D">
        <w:fldChar w:fldCharType="end"/>
      </w:r>
      <w:r>
        <w:t xml:space="preserve"> wherein mean bias of TcCO</w:t>
      </w:r>
      <w:r w:rsidR="00243FAA" w:rsidRPr="008477EE">
        <w:rPr>
          <w:vertAlign w:val="subscript"/>
        </w:rPr>
        <w:t>2</w:t>
      </w:r>
      <w:r>
        <w:t xml:space="preserve"> compared to PaCO</w:t>
      </w:r>
      <w:r w:rsidR="00243FAA" w:rsidRPr="008477EE">
        <w:rPr>
          <w:vertAlign w:val="subscript"/>
        </w:rPr>
        <w:t>2</w:t>
      </w:r>
      <w:r w:rsidR="00046A59">
        <w:t xml:space="preserve"> and</w:t>
      </w:r>
      <w:r>
        <w:t xml:space="preserve"> uncertainty (within- and inter-population disagreement) were reported</w:t>
      </w:r>
      <w:r w:rsidR="00D6321F">
        <w:t>.</w:t>
      </w:r>
      <w:r>
        <w:t xml:space="preserve"> </w:t>
      </w:r>
      <w:r w:rsidR="00D43B93">
        <w:t xml:space="preserve">Setting-specific </w:t>
      </w:r>
      <w:r w:rsidR="00D6321F">
        <w:t>values of bias and uncertainty as reported by Conway et al. were used for the corresponding locations of PaCO</w:t>
      </w:r>
      <w:r w:rsidR="00243FAA" w:rsidRPr="008477EE">
        <w:rPr>
          <w:vertAlign w:val="subscript"/>
        </w:rPr>
        <w:t>2</w:t>
      </w:r>
      <w:r w:rsidR="00D6321F">
        <w:t xml:space="preserve"> testing and included the</w:t>
      </w:r>
      <w:r>
        <w:t xml:space="preserve"> </w:t>
      </w:r>
      <w:commentRangeStart w:id="6"/>
      <w:commentRangeStart w:id="7"/>
      <w:r>
        <w:t>ambulatory pulmonary function</w:t>
      </w:r>
      <w:commentRangeEnd w:id="6"/>
      <w:r w:rsidR="00142523">
        <w:rPr>
          <w:rStyle w:val="CommentReference"/>
        </w:rPr>
        <w:commentReference w:id="6"/>
      </w:r>
      <w:commentRangeEnd w:id="7"/>
      <w:r w:rsidR="00D0284B">
        <w:rPr>
          <w:rStyle w:val="CommentReference"/>
        </w:rPr>
        <w:commentReference w:id="7"/>
      </w:r>
      <w:r>
        <w:t xml:space="preserve"> test unit</w:t>
      </w:r>
      <w:r w:rsidR="00D6321F">
        <w:t xml:space="preserve"> (PFT)</w:t>
      </w:r>
      <w:r>
        <w:t>, emergency department and inpatient wards</w:t>
      </w:r>
      <w:r w:rsidR="00D6321F">
        <w:t xml:space="preserve"> (ED/</w:t>
      </w:r>
      <w:proofErr w:type="spellStart"/>
      <w:r w:rsidR="00D6321F">
        <w:t>I</w:t>
      </w:r>
      <w:r w:rsidR="00A96E6D">
        <w:t>np</w:t>
      </w:r>
      <w:proofErr w:type="spellEnd"/>
      <w:r w:rsidR="00D6321F">
        <w:t>)</w:t>
      </w:r>
      <w:r>
        <w:t>, and intensive care unit</w:t>
      </w:r>
      <w:r w:rsidR="00D6321F">
        <w:t xml:space="preserve"> (ICU)</w:t>
      </w:r>
      <w:r>
        <w:t xml:space="preserve">. </w:t>
      </w:r>
      <w:r w:rsidR="0073487C">
        <w:t>Each simulated TcCO</w:t>
      </w:r>
      <w:r w:rsidR="00243FAA" w:rsidRPr="008477EE">
        <w:rPr>
          <w:vertAlign w:val="subscript"/>
        </w:rPr>
        <w:t>2</w:t>
      </w:r>
      <w:r w:rsidR="0073487C">
        <w:t xml:space="preserve"> was then </w:t>
      </w:r>
      <w:r>
        <w:t>classified as true</w:t>
      </w:r>
      <w:r w:rsidR="005F5A31">
        <w:t xml:space="preserve"> or false</w:t>
      </w:r>
      <w:r>
        <w:t xml:space="preserve"> negative</w:t>
      </w:r>
      <w:r w:rsidR="005F5A31">
        <w:t xml:space="preserve"> or positive by comparing </w:t>
      </w:r>
      <w:r w:rsidR="00197A74">
        <w:t xml:space="preserve">the </w:t>
      </w:r>
      <w:r w:rsidR="00C53AFA">
        <w:t xml:space="preserve">presence of </w:t>
      </w:r>
      <w:r w:rsidR="00F821A2">
        <w:t>arterial</w:t>
      </w:r>
      <w:r w:rsidR="005F5A31">
        <w:t xml:space="preserve"> hypercarbi</w:t>
      </w:r>
      <w:r w:rsidR="00C53AFA">
        <w:t>a</w:t>
      </w:r>
      <w:r w:rsidR="005F5A31">
        <w:t xml:space="preserve"> (</w:t>
      </w:r>
      <w:r w:rsidR="002E7C50">
        <w:t>PaCO</w:t>
      </w:r>
      <w:r w:rsidR="002E7C50" w:rsidRPr="008477EE">
        <w:rPr>
          <w:vertAlign w:val="subscript"/>
        </w:rPr>
        <w:t>2</w:t>
      </w:r>
      <w:r w:rsidR="00F821A2">
        <w:t xml:space="preserve"> </w:t>
      </w:r>
      <w:r w:rsidR="005F5A31">
        <w:t>≥45</w:t>
      </w:r>
      <w:r w:rsidR="009520C0">
        <w:t>mmHg</w:t>
      </w:r>
      <w:r w:rsidR="005F5A31">
        <w:t xml:space="preserve">) to </w:t>
      </w:r>
      <w:r w:rsidR="00F821A2">
        <w:t xml:space="preserve">that of </w:t>
      </w:r>
      <w:r w:rsidR="005F5A31">
        <w:t>TcCO</w:t>
      </w:r>
      <w:r w:rsidR="00243FAA" w:rsidRPr="008477EE">
        <w:rPr>
          <w:vertAlign w:val="subscript"/>
        </w:rPr>
        <w:t>2</w:t>
      </w:r>
      <w:r w:rsidR="005F5A31">
        <w:t xml:space="preserve"> under two different </w:t>
      </w:r>
      <w:r w:rsidR="00D00F74">
        <w:t>definitions</w:t>
      </w:r>
      <w:r w:rsidR="00445E70">
        <w:t xml:space="preserve">. The first </w:t>
      </w:r>
      <w:r w:rsidR="001449F5">
        <w:t>classification scheme</w:t>
      </w:r>
      <w:r w:rsidR="00445E70">
        <w:t xml:space="preserve"> used </w:t>
      </w:r>
      <w:r w:rsidR="005F5A31">
        <w:t>a strict TcCO</w:t>
      </w:r>
      <w:r w:rsidR="00243FAA" w:rsidRPr="008477EE">
        <w:rPr>
          <w:vertAlign w:val="subscript"/>
        </w:rPr>
        <w:t>2</w:t>
      </w:r>
      <w:r w:rsidR="005F5A31">
        <w:t xml:space="preserve"> hypercarbia threshold of ≥45</w:t>
      </w:r>
      <w:r w:rsidR="0090468C">
        <w:t>mmHg</w:t>
      </w:r>
      <w:r w:rsidR="00445E70">
        <w:t xml:space="preserve">. The second </w:t>
      </w:r>
      <w:r w:rsidR="001803C7">
        <w:t>classification system</w:t>
      </w:r>
      <w:r w:rsidR="00445E70">
        <w:t xml:space="preserve"> applied more </w:t>
      </w:r>
      <w:r w:rsidR="005F5A31">
        <w:t xml:space="preserve">extreme </w:t>
      </w:r>
      <w:r w:rsidR="001F0F93">
        <w:t>boundaries</w:t>
      </w:r>
      <w:r w:rsidR="005F5A31">
        <w:t xml:space="preserve"> of </w:t>
      </w:r>
      <w:r w:rsidR="001803C7">
        <w:t>classification of TcCO</w:t>
      </w:r>
      <w:r w:rsidR="001803C7" w:rsidRPr="008477EE">
        <w:rPr>
          <w:vertAlign w:val="subscript"/>
        </w:rPr>
        <w:t>2</w:t>
      </w:r>
      <w:r w:rsidR="001803C7">
        <w:t xml:space="preserve"> (</w:t>
      </w:r>
      <w:r w:rsidR="005F5A31">
        <w:t>normal</w:t>
      </w:r>
      <w:r w:rsidR="001803C7">
        <w:t xml:space="preserve">: </w:t>
      </w:r>
      <w:r w:rsidR="005F5A31">
        <w:t>&lt;40</w:t>
      </w:r>
      <w:r w:rsidR="001F0F93">
        <w:t>mmH</w:t>
      </w:r>
      <w:r w:rsidR="001803C7">
        <w:t>;</w:t>
      </w:r>
      <w:r w:rsidR="005F5A31">
        <w:t xml:space="preserve"> </w:t>
      </w:r>
      <w:r w:rsidR="00750391">
        <w:t>hypercarbia</w:t>
      </w:r>
      <w:r w:rsidR="005F5A31">
        <w:t xml:space="preserve"> ≥50</w:t>
      </w:r>
      <w:r w:rsidR="001F0F93">
        <w:t>mmHg)</w:t>
      </w:r>
      <w:r w:rsidR="005F5A31">
        <w:t xml:space="preserve"> </w:t>
      </w:r>
      <w:proofErr w:type="gramStart"/>
      <w:r w:rsidR="005F5A31">
        <w:t>in order to</w:t>
      </w:r>
      <w:proofErr w:type="gramEnd"/>
      <w:r w:rsidR="005F5A31">
        <w:t xml:space="preserve"> separately evaluate test characteristics for </w:t>
      </w:r>
      <w:r w:rsidR="00902EE5">
        <w:t xml:space="preserve">only </w:t>
      </w:r>
      <w:r w:rsidR="008D43EB">
        <w:t xml:space="preserve">those </w:t>
      </w:r>
      <w:r w:rsidR="00C3560F">
        <w:t>TcCO</w:t>
      </w:r>
      <w:r w:rsidR="00C3560F" w:rsidRPr="008477EE">
        <w:rPr>
          <w:vertAlign w:val="subscript"/>
        </w:rPr>
        <w:t>2</w:t>
      </w:r>
      <w:r w:rsidR="006A6F2E">
        <w:t xml:space="preserve"> values</w:t>
      </w:r>
      <w:r w:rsidR="008D43EB">
        <w:t xml:space="preserve"> that are</w:t>
      </w:r>
      <w:r w:rsidR="006A6F2E">
        <w:t xml:space="preserve"> further from borderline classification</w:t>
      </w:r>
      <w:r w:rsidR="005F5A31">
        <w:t xml:space="preserve">. </w:t>
      </w:r>
      <w:r w:rsidR="00C40604">
        <w:t>TcCO</w:t>
      </w:r>
      <w:r w:rsidR="00C40604" w:rsidRPr="008477EE">
        <w:rPr>
          <w:vertAlign w:val="subscript"/>
        </w:rPr>
        <w:t>2</w:t>
      </w:r>
      <w:r w:rsidR="00C40604">
        <w:t>-PaCO</w:t>
      </w:r>
      <w:r w:rsidR="00C40604" w:rsidRPr="008477EE">
        <w:rPr>
          <w:vertAlign w:val="subscript"/>
        </w:rPr>
        <w:t>2</w:t>
      </w:r>
      <w:r w:rsidR="00C40604">
        <w:t xml:space="preserve"> agreement w</w:t>
      </w:r>
      <w:r w:rsidR="00436231">
        <w:t>as then</w:t>
      </w:r>
      <w:r w:rsidR="00C40604">
        <w:t xml:space="preserve"> used to estimate sensitivity (Se), specificity (</w:t>
      </w:r>
      <w:proofErr w:type="spellStart"/>
      <w:r w:rsidR="00C40604">
        <w:t>Sp</w:t>
      </w:r>
      <w:proofErr w:type="spellEnd"/>
      <w:r w:rsidR="00C40604">
        <w:t xml:space="preserve">), and </w:t>
      </w:r>
      <w:r w:rsidR="00A71229">
        <w:t xml:space="preserve">negative and positive </w:t>
      </w:r>
      <w:r w:rsidR="00C40604">
        <w:t>predictive values</w:t>
      </w:r>
      <w:r w:rsidR="00125C18">
        <w:t xml:space="preserve"> (NPV/PPV)</w:t>
      </w:r>
      <w:r w:rsidR="00C40604">
        <w:t>. Multi-level modeling and Monte-Carlo simulation were used to account for mean bias, within-study variance, between-study varia</w:t>
      </w:r>
      <w:r w:rsidR="00C37155">
        <w:t>nce</w:t>
      </w:r>
      <w:r w:rsidR="00C40604">
        <w:t>, and uncertainty in each parameter estimate.</w:t>
      </w:r>
    </w:p>
    <w:p w14:paraId="08FFE13E" w14:textId="77777777" w:rsidR="00F14FA7" w:rsidRDefault="00F14FA7" w:rsidP="00F14FA7"/>
    <w:p w14:paraId="5B70AF75" w14:textId="77777777" w:rsidR="00F14FA7" w:rsidRPr="0038609B" w:rsidRDefault="00F14FA7" w:rsidP="00F14FA7">
      <w:pPr>
        <w:rPr>
          <w:b/>
          <w:bCs/>
        </w:rPr>
      </w:pPr>
      <w:r w:rsidRPr="0038609B">
        <w:rPr>
          <w:b/>
          <w:bCs/>
        </w:rPr>
        <w:t xml:space="preserve">Results: </w:t>
      </w:r>
    </w:p>
    <w:p w14:paraId="0D081497" w14:textId="5F108BFA" w:rsidR="00F14FA7" w:rsidRDefault="0095131C" w:rsidP="00DA094D">
      <w:r>
        <w:t>168,663</w:t>
      </w:r>
      <w:r w:rsidR="00F14FA7">
        <w:t xml:space="preserve"> ABGs were included across all clinical settings (</w:t>
      </w:r>
      <w:proofErr w:type="gramStart"/>
      <w:r>
        <w:t xml:space="preserve">91,503 </w:t>
      </w:r>
      <w:r w:rsidR="00F14FA7">
        <w:t xml:space="preserve"> </w:t>
      </w:r>
      <w:r w:rsidR="00A07463">
        <w:t>ED</w:t>
      </w:r>
      <w:proofErr w:type="gramEnd"/>
      <w:r w:rsidR="00A07463">
        <w:t>/</w:t>
      </w:r>
      <w:proofErr w:type="spellStart"/>
      <w:r w:rsidR="00A07463">
        <w:t>Inpt</w:t>
      </w:r>
      <w:proofErr w:type="spellEnd"/>
      <w:r w:rsidR="00F14FA7">
        <w:t xml:space="preserve">, 66,704 ICU, and 10,456 PFT). Median age was 61 years (IQR </w:t>
      </w:r>
      <w:r w:rsidR="00A07463">
        <w:t>51, 74</w:t>
      </w:r>
      <w:r w:rsidR="00F14FA7">
        <w:t>)</w:t>
      </w:r>
      <w:r w:rsidR="00C40B19">
        <w:t xml:space="preserve">, 54.7% were male, and race was </w:t>
      </w:r>
      <w:commentRangeStart w:id="8"/>
      <w:r w:rsidR="00C40B19">
        <w:t>comprised of 64.5% non-Hispanic White, 14.3% Black, 5.4% Hispanic, and 1.9% Asian</w:t>
      </w:r>
      <w:r w:rsidR="00F14FA7">
        <w:t xml:space="preserve">. </w:t>
      </w:r>
      <w:commentRangeStart w:id="9"/>
      <w:r w:rsidR="00F14FA7">
        <w:t>Mean PaCO</w:t>
      </w:r>
      <w:r w:rsidR="00B52997" w:rsidRPr="008477EE">
        <w:rPr>
          <w:vertAlign w:val="subscript"/>
        </w:rPr>
        <w:t>2</w:t>
      </w:r>
      <w:r w:rsidR="00F14FA7">
        <w:t xml:space="preserve"> </w:t>
      </w:r>
      <w:commentRangeEnd w:id="9"/>
      <w:r w:rsidR="00670CEB">
        <w:rPr>
          <w:rStyle w:val="CommentReference"/>
        </w:rPr>
        <w:commentReference w:id="9"/>
      </w:r>
      <w:r w:rsidR="00A96E6D">
        <w:t xml:space="preserve">for all </w:t>
      </w:r>
      <w:r w:rsidR="00D05B30">
        <w:t xml:space="preserve">aggregated </w:t>
      </w:r>
      <w:r w:rsidR="00A96E6D">
        <w:t xml:space="preserve">patients was </w:t>
      </w:r>
      <w:commentRangeStart w:id="10"/>
      <w:r w:rsidR="00A96E6D">
        <w:t>42.5 ± 16.1</w:t>
      </w:r>
      <w:commentRangeEnd w:id="10"/>
      <w:r w:rsidR="00142523">
        <w:rPr>
          <w:rStyle w:val="CommentReference"/>
        </w:rPr>
        <w:commentReference w:id="10"/>
      </w:r>
      <w:r w:rsidR="00A62927">
        <w:t xml:space="preserve">. </w:t>
      </w:r>
      <w:commentRangeEnd w:id="8"/>
      <w:r w:rsidR="00AF10CE">
        <w:rPr>
          <w:rStyle w:val="CommentReference"/>
        </w:rPr>
        <w:commentReference w:id="8"/>
      </w:r>
      <w:r w:rsidR="00E474BA">
        <w:t>The proportion with PaCO</w:t>
      </w:r>
      <w:r w:rsidR="00E474BA" w:rsidRPr="008477EE">
        <w:rPr>
          <w:vertAlign w:val="subscript"/>
        </w:rPr>
        <w:t>2</w:t>
      </w:r>
      <w:r w:rsidR="00E474BA">
        <w:t xml:space="preserve"> ≥ 45 mmHg was 2</w:t>
      </w:r>
      <w:r w:rsidR="00A62927">
        <w:t>6</w:t>
      </w:r>
      <w:r w:rsidR="00E474BA">
        <w:t>.</w:t>
      </w:r>
      <w:r w:rsidR="00A62927">
        <w:t>5</w:t>
      </w:r>
      <w:r w:rsidR="00E474BA">
        <w:t xml:space="preserve">% (PFT), </w:t>
      </w:r>
      <w:r w:rsidR="00A62927">
        <w:t>29.3</w:t>
      </w:r>
      <w:r w:rsidR="00E474BA">
        <w:t>% (ED/</w:t>
      </w:r>
      <w:r w:rsidR="00A62927">
        <w:t>Inp</w:t>
      </w:r>
      <w:r w:rsidR="00E474BA">
        <w:t xml:space="preserve">), and 31.7% (ICU). </w:t>
      </w:r>
      <w:r w:rsidR="00DA094D">
        <w:t>Applying a definition of hypercarbia by TcCO</w:t>
      </w:r>
      <w:r w:rsidR="00DA094D" w:rsidRPr="008477EE">
        <w:rPr>
          <w:vertAlign w:val="subscript"/>
        </w:rPr>
        <w:t>2</w:t>
      </w:r>
      <w:r w:rsidR="00DA094D">
        <w:rPr>
          <w:vertAlign w:val="subscript"/>
        </w:rPr>
        <w:t xml:space="preserve"> </w:t>
      </w:r>
      <w:r w:rsidR="00DA094D" w:rsidRPr="00DA094D">
        <w:t>of</w:t>
      </w:r>
      <w:r w:rsidR="00DA094D">
        <w:t xml:space="preserve"> ≥45mmHg</w:t>
      </w:r>
      <w:r w:rsidR="001D69A4">
        <w:t xml:space="preserve"> </w:t>
      </w:r>
      <w:r w:rsidR="00F14FA7" w:rsidRPr="00E30EC7">
        <w:t>yield</w:t>
      </w:r>
      <w:r w:rsidR="00F14FA7">
        <w:t>ed</w:t>
      </w:r>
      <w:r w:rsidR="00F14FA7" w:rsidRPr="00E30EC7">
        <w:t xml:space="preserve"> </w:t>
      </w:r>
      <w:r w:rsidR="00F14FA7">
        <w:t>the following operating</w:t>
      </w:r>
      <w:r w:rsidR="00F14FA7" w:rsidRPr="00E30EC7">
        <w:t xml:space="preserve"> characteristic</w:t>
      </w:r>
      <w:r w:rsidR="00F14FA7">
        <w:t xml:space="preserve"> estimates: </w:t>
      </w:r>
      <w:r w:rsidR="00DA094D">
        <w:t>Se</w:t>
      </w:r>
      <w:r w:rsidR="00A65925">
        <w:t>:</w:t>
      </w:r>
      <w:r w:rsidR="00F14FA7" w:rsidRPr="00E30EC7">
        <w:t xml:space="preserve"> </w:t>
      </w:r>
      <w:r w:rsidR="001D69A4">
        <w:t>82.0%-93.1</w:t>
      </w:r>
      <w:r w:rsidR="00F14FA7">
        <w:t>%</w:t>
      </w:r>
      <w:r w:rsidR="00A65925">
        <w:t>;</w:t>
      </w:r>
      <w:r w:rsidR="00F14FA7" w:rsidRPr="00E30EC7">
        <w:t xml:space="preserve"> </w:t>
      </w:r>
      <w:proofErr w:type="spellStart"/>
      <w:r w:rsidR="00DA094D">
        <w:t>Sp</w:t>
      </w:r>
      <w:proofErr w:type="spellEnd"/>
      <w:r w:rsidR="00A65925">
        <w:t>:</w:t>
      </w:r>
      <w:r w:rsidR="00F14FA7" w:rsidRPr="00E30EC7">
        <w:t xml:space="preserve"> </w:t>
      </w:r>
      <w:r w:rsidR="00F14FA7">
        <w:t>94.</w:t>
      </w:r>
      <w:r w:rsidR="001D69A4">
        <w:t>4</w:t>
      </w:r>
      <w:r w:rsidR="00F14FA7">
        <w:t>%-</w:t>
      </w:r>
      <w:r w:rsidR="00F14FA7" w:rsidRPr="00270D22">
        <w:t>9</w:t>
      </w:r>
      <w:r w:rsidR="001D69A4">
        <w:t>7</w:t>
      </w:r>
      <w:r w:rsidR="00F14FA7">
        <w:t>.0</w:t>
      </w:r>
      <w:r w:rsidR="00F14FA7" w:rsidRPr="00E30EC7">
        <w:t>%</w:t>
      </w:r>
      <w:r w:rsidR="00A65925">
        <w:t>;</w:t>
      </w:r>
      <w:r w:rsidR="00F14FA7" w:rsidRPr="00E30EC7">
        <w:t xml:space="preserve"> </w:t>
      </w:r>
      <w:r w:rsidR="00DA094D">
        <w:t>NPV</w:t>
      </w:r>
      <w:r w:rsidR="00A65925">
        <w:t>:</w:t>
      </w:r>
      <w:r w:rsidR="00F14FA7" w:rsidRPr="00270D22">
        <w:t xml:space="preserve"> </w:t>
      </w:r>
      <w:r w:rsidR="00F14FA7">
        <w:t>9</w:t>
      </w:r>
      <w:r w:rsidR="001D69A4">
        <w:t>2</w:t>
      </w:r>
      <w:r w:rsidR="00F14FA7">
        <w:t>.</w:t>
      </w:r>
      <w:r w:rsidR="001D69A4">
        <w:t>8</w:t>
      </w:r>
      <w:r w:rsidR="00F14FA7">
        <w:t>%-9</w:t>
      </w:r>
      <w:r w:rsidR="001D69A4">
        <w:t>6.7</w:t>
      </w:r>
      <w:r w:rsidR="00F14FA7" w:rsidRPr="00E30EC7">
        <w:t>%</w:t>
      </w:r>
      <w:r w:rsidR="00A65925">
        <w:t>;</w:t>
      </w:r>
      <w:r w:rsidR="00F14FA7" w:rsidRPr="00E30EC7">
        <w:t xml:space="preserve"> and </w:t>
      </w:r>
      <w:r w:rsidR="00DA094D">
        <w:t>PPV</w:t>
      </w:r>
      <w:r w:rsidR="00A65925">
        <w:t>:</w:t>
      </w:r>
      <w:r w:rsidR="00F14FA7" w:rsidRPr="00E30EC7">
        <w:t xml:space="preserve"> </w:t>
      </w:r>
      <w:r w:rsidR="00F14FA7" w:rsidRPr="00270D22">
        <w:t>8</w:t>
      </w:r>
      <w:r w:rsidR="001D69A4">
        <w:t>5.2</w:t>
      </w:r>
      <w:r w:rsidR="00F14FA7" w:rsidRPr="00E30EC7">
        <w:t>%</w:t>
      </w:r>
      <w:r w:rsidR="00F14FA7">
        <w:t>-9</w:t>
      </w:r>
      <w:r w:rsidR="001D69A4">
        <w:t>1.9</w:t>
      </w:r>
      <w:r w:rsidR="00F14FA7">
        <w:t>%</w:t>
      </w:r>
      <w:r w:rsidR="00F14FA7" w:rsidRPr="00E30EC7">
        <w:t>.</w:t>
      </w:r>
      <w:r w:rsidR="00F14FA7">
        <w:t xml:space="preserve"> The greatest false negative</w:t>
      </w:r>
      <w:r w:rsidR="00F5361D">
        <w:t xml:space="preserve"> and false positive</w:t>
      </w:r>
      <w:r w:rsidR="00F14FA7">
        <w:t xml:space="preserve"> rate</w:t>
      </w:r>
      <w:r w:rsidR="00F5361D">
        <w:t>s</w:t>
      </w:r>
      <w:r w:rsidR="00F14FA7">
        <w:t xml:space="preserve"> w</w:t>
      </w:r>
      <w:r w:rsidR="00F5361D">
        <w:t>ere</w:t>
      </w:r>
      <w:r w:rsidR="00F14FA7">
        <w:t xml:space="preserve"> </w:t>
      </w:r>
      <w:r w:rsidR="00F5361D">
        <w:t>5.1</w:t>
      </w:r>
      <w:r w:rsidR="00F14FA7">
        <w:t xml:space="preserve">% in the </w:t>
      </w:r>
      <w:r w:rsidR="00F5361D">
        <w:t>ED/</w:t>
      </w:r>
      <w:proofErr w:type="spellStart"/>
      <w:r w:rsidR="00F5361D">
        <w:t>Inp</w:t>
      </w:r>
      <w:proofErr w:type="spellEnd"/>
      <w:r w:rsidR="00F5361D">
        <w:t xml:space="preserve"> group </w:t>
      </w:r>
      <w:r w:rsidR="00F14FA7">
        <w:t xml:space="preserve">and </w:t>
      </w:r>
      <w:r w:rsidR="00F5361D">
        <w:t>3.8% in the PFT group, respectively.</w:t>
      </w:r>
      <w:r w:rsidR="00B61FF3">
        <w:t xml:space="preserve"> With </w:t>
      </w:r>
      <w:r w:rsidR="00342E39">
        <w:t xml:space="preserve">the </w:t>
      </w:r>
      <w:r w:rsidR="00B61FF3">
        <w:t xml:space="preserve">more extreme </w:t>
      </w:r>
      <w:r w:rsidR="00342E39">
        <w:t>TcCO</w:t>
      </w:r>
      <w:r w:rsidR="00B52997" w:rsidRPr="008477EE">
        <w:rPr>
          <w:vertAlign w:val="subscript"/>
        </w:rPr>
        <w:t>2</w:t>
      </w:r>
      <w:r w:rsidR="00342E39">
        <w:t xml:space="preserve"> </w:t>
      </w:r>
      <w:r w:rsidR="00B61FF3">
        <w:t>cutoffs</w:t>
      </w:r>
      <w:r w:rsidR="00342E39">
        <w:t xml:space="preserve">, values for </w:t>
      </w:r>
      <w:r w:rsidR="00342E39">
        <w:lastRenderedPageBreak/>
        <w:t>Se/</w:t>
      </w:r>
      <w:proofErr w:type="spellStart"/>
      <w:r w:rsidR="00342E39">
        <w:t>Sp</w:t>
      </w:r>
      <w:proofErr w:type="spellEnd"/>
      <w:r w:rsidR="00342E39">
        <w:t>/NPV/PPV all increased to &gt;99% with false classification rates of &lt;1% across all settings.</w:t>
      </w:r>
    </w:p>
    <w:p w14:paraId="0A0AACB7" w14:textId="77777777" w:rsidR="00F14FA7" w:rsidRDefault="00F14FA7" w:rsidP="00F14FA7"/>
    <w:p w14:paraId="5690A360" w14:textId="6398479B" w:rsidR="00F14FA7" w:rsidRPr="0038609B" w:rsidRDefault="00874181" w:rsidP="00F14FA7">
      <w:pPr>
        <w:rPr>
          <w:b/>
          <w:bCs/>
        </w:rPr>
      </w:pPr>
      <w:r>
        <w:rPr>
          <w:b/>
          <w:bCs/>
        </w:rPr>
        <w:t>Discussion</w:t>
      </w:r>
      <w:r w:rsidR="00F14FA7" w:rsidRPr="0038609B">
        <w:rPr>
          <w:b/>
          <w:bCs/>
        </w:rPr>
        <w:t xml:space="preserve">: </w:t>
      </w:r>
    </w:p>
    <w:p w14:paraId="365C8640" w14:textId="3A18E118" w:rsidR="0068027D" w:rsidRDefault="00F14FA7" w:rsidP="00F14FA7">
      <w:r>
        <w:t xml:space="preserve">Our current simulation suggests </w:t>
      </w:r>
      <w:r w:rsidR="00E474BA">
        <w:t>a</w:t>
      </w:r>
      <w:r>
        <w:t xml:space="preserve"> high degree of accuracy</w:t>
      </w:r>
      <w:r w:rsidR="00FA3B12">
        <w:t xml:space="preserve"> of</w:t>
      </w:r>
      <w:r>
        <w:t xml:space="preserve"> TcCO</w:t>
      </w:r>
      <w:r w:rsidR="00416073" w:rsidRPr="008477EE">
        <w:rPr>
          <w:vertAlign w:val="subscript"/>
        </w:rPr>
        <w:t>2</w:t>
      </w:r>
      <w:r>
        <w:t xml:space="preserve"> </w:t>
      </w:r>
      <w:r w:rsidR="00FA3B12">
        <w:t>in</w:t>
      </w:r>
      <w:r>
        <w:t xml:space="preserve"> </w:t>
      </w:r>
      <w:r w:rsidR="0098677E">
        <w:t>detection</w:t>
      </w:r>
      <w:r w:rsidR="00FA3B12">
        <w:t xml:space="preserve"> </w:t>
      </w:r>
      <w:r>
        <w:t>of hypercapnia across</w:t>
      </w:r>
      <w:commentRangeStart w:id="11"/>
      <w:r>
        <w:t xml:space="preserve"> different clinical settings</w:t>
      </w:r>
      <w:commentRangeEnd w:id="11"/>
      <w:r w:rsidR="006C18D2">
        <w:rPr>
          <w:rStyle w:val="CommentReference"/>
        </w:rPr>
        <w:commentReference w:id="11"/>
      </w:r>
      <w:r w:rsidR="00164ED6">
        <w:t xml:space="preserve">. Although </w:t>
      </w:r>
      <w:r w:rsidR="0063650B">
        <w:t xml:space="preserve">some </w:t>
      </w:r>
      <w:r w:rsidR="00C67F66">
        <w:t xml:space="preserve">patients with </w:t>
      </w:r>
      <w:r w:rsidR="00164ED6">
        <w:t>borderline values of PaCO</w:t>
      </w:r>
      <w:r w:rsidR="004E2F90" w:rsidRPr="008477EE">
        <w:rPr>
          <w:vertAlign w:val="subscript"/>
        </w:rPr>
        <w:t>2</w:t>
      </w:r>
      <w:r w:rsidR="00C67F66">
        <w:t xml:space="preserve"> may be misclassified based upon Tc</w:t>
      </w:r>
      <w:r w:rsidR="00D453C7">
        <w:t>C</w:t>
      </w:r>
      <w:r w:rsidR="00C67F66">
        <w:t>O</w:t>
      </w:r>
      <w:r w:rsidR="00416073" w:rsidRPr="008477EE">
        <w:rPr>
          <w:vertAlign w:val="subscript"/>
        </w:rPr>
        <w:t>2</w:t>
      </w:r>
      <w:r w:rsidR="00C67F66">
        <w:t xml:space="preserve">, this </w:t>
      </w:r>
      <w:r w:rsidR="00960DC2">
        <w:t>rate of misclassification dramatically decreases with the application of slightly more extreme cutoffs of TcCO</w:t>
      </w:r>
      <w:r w:rsidR="00416073" w:rsidRPr="008477EE">
        <w:rPr>
          <w:vertAlign w:val="subscript"/>
        </w:rPr>
        <w:t>2</w:t>
      </w:r>
      <w:r w:rsidR="00416073">
        <w:rPr>
          <w:vertAlign w:val="subscript"/>
        </w:rPr>
        <w:t xml:space="preserve"> </w:t>
      </w:r>
      <w:r w:rsidR="00960DC2">
        <w:t>that exclu</w:t>
      </w:r>
      <w:r w:rsidR="00644D4D">
        <w:t>de a midrange of values (40-50mmHg) that are likely to not be of significant clinical consequence anyways</w:t>
      </w:r>
      <w:r w:rsidR="0068027D">
        <w:t>. In other words, th</w:t>
      </w:r>
      <w:r w:rsidR="00E36DE3">
        <w:t>e</w:t>
      </w:r>
      <w:r w:rsidR="0068027D">
        <w:t>s</w:t>
      </w:r>
      <w:r w:rsidR="00E36DE3">
        <w:t>e</w:t>
      </w:r>
      <w:r w:rsidR="0068027D">
        <w:t xml:space="preserve"> data support that</w:t>
      </w:r>
      <w:r w:rsidR="00D0342F">
        <w:t>,</w:t>
      </w:r>
      <w:r w:rsidR="0068027D">
        <w:t xml:space="preserve"> should a cut-off for hypercapnia by TcCO</w:t>
      </w:r>
      <w:r w:rsidR="004E2F90" w:rsidRPr="008477EE">
        <w:rPr>
          <w:vertAlign w:val="subscript"/>
        </w:rPr>
        <w:t>2</w:t>
      </w:r>
      <w:r w:rsidR="0068027D">
        <w:t xml:space="preserve"> of ≥50mmHg be used, the </w:t>
      </w:r>
      <w:r w:rsidR="002D6B5F">
        <w:t>detection of true hypercapnia would be extremely accurate with a false positive rate far below 1%</w:t>
      </w:r>
      <w:r w:rsidR="00AD2944">
        <w:t xml:space="preserve"> regardless of clinical </w:t>
      </w:r>
      <w:commentRangeStart w:id="12"/>
      <w:r w:rsidR="00AD2944">
        <w:t>setting</w:t>
      </w:r>
      <w:r w:rsidR="002D6B5F">
        <w:t>.</w:t>
      </w:r>
      <w:commentRangeEnd w:id="12"/>
      <w:r w:rsidR="006C18D2">
        <w:rPr>
          <w:rStyle w:val="CommentReference"/>
        </w:rPr>
        <w:commentReference w:id="12"/>
      </w:r>
    </w:p>
    <w:p w14:paraId="3DBBD099" w14:textId="77777777" w:rsidR="0068027D" w:rsidRDefault="0068027D" w:rsidP="00F14FA7"/>
    <w:p w14:paraId="50732EC2" w14:textId="363BC92B" w:rsidR="00716A4C" w:rsidRDefault="00F14FA7" w:rsidP="00716A4C">
      <w:r>
        <w:t xml:space="preserve">Limitations to this work include that </w:t>
      </w:r>
      <w:r w:rsidR="007E5B99">
        <w:t xml:space="preserve">this is an estimation of the accuracy for </w:t>
      </w:r>
      <w:r w:rsidR="007E5B99" w:rsidRPr="007E5B99">
        <w:t>identification of hypercapnia if applied broadly to situations where ABGs are currently obtained</w:t>
      </w:r>
      <w:r w:rsidR="00716A4C">
        <w:t xml:space="preserve">, potentially representing a patient population with more extreme derangements than those who have not </w:t>
      </w:r>
      <w:commentRangeStart w:id="13"/>
      <w:r w:rsidR="00716A4C">
        <w:t>undergone arterial sampling</w:t>
      </w:r>
      <w:commentRangeEnd w:id="13"/>
      <w:r w:rsidR="006C18D2">
        <w:rPr>
          <w:rStyle w:val="CommentReference"/>
        </w:rPr>
        <w:commentReference w:id="13"/>
      </w:r>
      <w:r w:rsidR="00716A4C">
        <w:t xml:space="preserve">. </w:t>
      </w:r>
      <w:commentRangeStart w:id="14"/>
      <w:r w:rsidR="00716A4C">
        <w:t>We have also assumed a gaussian distribution of error in PaCO</w:t>
      </w:r>
      <w:r w:rsidR="004E2F90" w:rsidRPr="008477EE">
        <w:rPr>
          <w:vertAlign w:val="subscript"/>
        </w:rPr>
        <w:t>2</w:t>
      </w:r>
      <w:r w:rsidR="00716A4C">
        <w:t>-TcCO</w:t>
      </w:r>
      <w:r w:rsidR="004E2F90" w:rsidRPr="008477EE">
        <w:rPr>
          <w:vertAlign w:val="subscript"/>
        </w:rPr>
        <w:t>2</w:t>
      </w:r>
      <w:r w:rsidR="00716A4C">
        <w:t xml:space="preserve"> agreement which may not be </w:t>
      </w:r>
      <w:r w:rsidR="00CD35FA">
        <w:t>accurate</w:t>
      </w:r>
      <w:r w:rsidR="00716A4C">
        <w:t>.</w:t>
      </w:r>
      <w:commentRangeEnd w:id="14"/>
      <w:r w:rsidR="00C83094">
        <w:rPr>
          <w:rStyle w:val="CommentReference"/>
        </w:rPr>
        <w:commentReference w:id="14"/>
      </w:r>
      <w:r w:rsidR="00716A4C">
        <w:t xml:space="preserve"> Furthermore, </w:t>
      </w:r>
      <w:r w:rsidR="00A61FE4">
        <w:t xml:space="preserve">two </w:t>
      </w:r>
      <w:r w:rsidR="005E7669">
        <w:t xml:space="preserve">potentially </w:t>
      </w:r>
      <w:r w:rsidR="00A61FE4">
        <w:t xml:space="preserve">important points </w:t>
      </w:r>
      <w:r w:rsidR="0053559C">
        <w:t xml:space="preserve">of </w:t>
      </w:r>
      <w:r w:rsidR="008D7E53">
        <w:t>detail</w:t>
      </w:r>
      <w:r w:rsidR="00A61FE4">
        <w:t xml:space="preserve"> are not captured in our data. First, </w:t>
      </w:r>
      <w:r w:rsidR="00716A4C">
        <w:t xml:space="preserve">we have limited hypercapnia to a dichotomous outcome rather than reflecting the true, continuous nature that may inform nuanced clinical practice. </w:t>
      </w:r>
      <w:r w:rsidR="00A61FE4">
        <w:t xml:space="preserve">Secondly, we did not evaluate test characteristics within specific physiologic states that may compromise </w:t>
      </w:r>
      <w:commentRangeStart w:id="15"/>
      <w:r w:rsidR="00A61FE4">
        <w:t>accuracy (</w:t>
      </w:r>
      <w:proofErr w:type="spellStart"/>
      <w:r w:rsidR="00A61FE4">
        <w:t>ie</w:t>
      </w:r>
      <w:proofErr w:type="spellEnd"/>
      <w:r w:rsidR="00A61FE4">
        <w:t xml:space="preserve"> shock) </w:t>
      </w:r>
      <w:commentRangeEnd w:id="15"/>
      <w:r w:rsidR="006C18D2">
        <w:rPr>
          <w:rStyle w:val="CommentReference"/>
        </w:rPr>
        <w:commentReference w:id="15"/>
      </w:r>
      <w:r w:rsidR="00A61FE4">
        <w:t>nor for different</w:t>
      </w:r>
      <w:r w:rsidR="005B6509">
        <w:t xml:space="preserve"> TcCO</w:t>
      </w:r>
      <w:r w:rsidR="005B6509" w:rsidRPr="008477EE">
        <w:rPr>
          <w:vertAlign w:val="subscript"/>
        </w:rPr>
        <w:t>2</w:t>
      </w:r>
      <w:r w:rsidR="00A61FE4">
        <w:t xml:space="preserve"> </w:t>
      </w:r>
      <w:r w:rsidR="001A3F21">
        <w:t xml:space="preserve">monitoring </w:t>
      </w:r>
      <w:r w:rsidR="00A61FE4">
        <w:t>devices.</w:t>
      </w:r>
    </w:p>
    <w:p w14:paraId="5A88D469" w14:textId="77777777" w:rsidR="00F14FA7" w:rsidRDefault="00F14FA7" w:rsidP="00F14FA7"/>
    <w:p w14:paraId="0C15A7B0" w14:textId="756B3364" w:rsidR="00CA5439" w:rsidRPr="00CA5439" w:rsidRDefault="00CA5439" w:rsidP="00F14FA7">
      <w:pPr>
        <w:rPr>
          <w:b/>
          <w:bCs/>
        </w:rPr>
      </w:pPr>
      <w:r>
        <w:rPr>
          <w:b/>
          <w:bCs/>
        </w:rPr>
        <w:t>Conclusions</w:t>
      </w:r>
    </w:p>
    <w:p w14:paraId="3B308BAB" w14:textId="7FEC2868" w:rsidR="00E8323E" w:rsidRDefault="00F14FA7" w:rsidP="00F14FA7">
      <w:r>
        <w:t>TcCO</w:t>
      </w:r>
      <w:r w:rsidR="004A394D" w:rsidRPr="008477EE">
        <w:rPr>
          <w:vertAlign w:val="subscript"/>
        </w:rPr>
        <w:t>2</w:t>
      </w:r>
      <w:r>
        <w:t xml:space="preserve"> may have a role in detection of clinically significant hypercapnia across multiple clinical settings</w:t>
      </w:r>
      <w:r w:rsidR="00E8323E">
        <w:t xml:space="preserve"> with a low likelihood of making large mistakes in</w:t>
      </w:r>
      <w:r w:rsidR="00A04504">
        <w:t xml:space="preserve"> </w:t>
      </w:r>
      <w:commentRangeStart w:id="16"/>
      <w:r w:rsidR="00A04504">
        <w:t>binary</w:t>
      </w:r>
      <w:r w:rsidR="00E8323E">
        <w:t xml:space="preserve"> classification</w:t>
      </w:r>
      <w:r>
        <w:t xml:space="preserve">. </w:t>
      </w:r>
      <w:commentRangeEnd w:id="16"/>
      <w:r w:rsidR="00896177">
        <w:rPr>
          <w:rStyle w:val="CommentReference"/>
        </w:rPr>
        <w:commentReference w:id="16"/>
      </w:r>
      <w:r w:rsidR="00E8323E">
        <w:t>Adoption in regular clinical practice may thus be useful when either the d</w:t>
      </w:r>
      <w:r w:rsidR="00FF4FD7">
        <w:t>rawbacks</w:t>
      </w:r>
      <w:r w:rsidR="002812FF">
        <w:t xml:space="preserve">/requisite skills </w:t>
      </w:r>
      <w:r w:rsidR="00E8323E">
        <w:t xml:space="preserve">of arterial sampling are prohibitive or </w:t>
      </w:r>
      <w:commentRangeStart w:id="17"/>
      <w:r w:rsidR="00E8323E">
        <w:t xml:space="preserve">continuous monitoring </w:t>
      </w:r>
      <w:commentRangeEnd w:id="17"/>
      <w:r w:rsidR="00896177">
        <w:rPr>
          <w:rStyle w:val="CommentReference"/>
        </w:rPr>
        <w:commentReference w:id="17"/>
      </w:r>
      <w:r w:rsidR="00E8323E">
        <w:t>is desired</w:t>
      </w:r>
      <w:r w:rsidR="005528A9">
        <w:t xml:space="preserve"> for </w:t>
      </w:r>
      <w:proofErr w:type="gramStart"/>
      <w:r w:rsidR="005528A9">
        <w:t>high risk</w:t>
      </w:r>
      <w:proofErr w:type="gramEnd"/>
      <w:r w:rsidR="005528A9">
        <w:t xml:space="preserve"> populations</w:t>
      </w:r>
      <w:r w:rsidR="00E8323E">
        <w:t xml:space="preserve">, akin to the </w:t>
      </w:r>
      <w:r w:rsidR="007A77E2">
        <w:t>unambiguous</w:t>
      </w:r>
      <w:r w:rsidR="00E8323E">
        <w:t xml:space="preserve"> utility of the pulse oximeter</w:t>
      </w:r>
      <w:r w:rsidR="007A77E2">
        <w:t xml:space="preserve"> </w:t>
      </w:r>
      <w:r w:rsidR="00143957">
        <w:t xml:space="preserve">in obviating the need for routine arterial sampling </w:t>
      </w:r>
      <w:r w:rsidR="00F915CC">
        <w:t>in</w:t>
      </w:r>
      <w:r w:rsidR="00E33378">
        <w:t xml:space="preserve"> </w:t>
      </w:r>
      <w:r w:rsidR="007A77E2">
        <w:t>assess</w:t>
      </w:r>
      <w:r w:rsidR="00F915CC">
        <w:t>ment</w:t>
      </w:r>
      <w:r w:rsidR="006C5038">
        <w:t xml:space="preserve"> of</w:t>
      </w:r>
      <w:r w:rsidR="007A77E2">
        <w:t xml:space="preserve"> oxygenation status.</w:t>
      </w:r>
      <w:r w:rsidR="006A61A1">
        <w:t xml:space="preserve"> Furthermore, such granularity that continuous monitoring could provide </w:t>
      </w:r>
      <w:r w:rsidR="008F241D">
        <w:t>would be a welcome inclusion in the expanding field of research in ventilat</w:t>
      </w:r>
      <w:r w:rsidR="00F0556F">
        <w:t>ory physiology</w:t>
      </w:r>
      <w:r w:rsidR="008F241D">
        <w:t>.</w:t>
      </w:r>
    </w:p>
    <w:p w14:paraId="173FB14B" w14:textId="4A32CBB5" w:rsidR="004B4A45" w:rsidRDefault="00FB0577" w:rsidP="00F14FA7">
      <w:r>
        <w:tab/>
      </w:r>
    </w:p>
    <w:p w14:paraId="25B2FB53" w14:textId="70B3F1CA" w:rsidR="004B4A45" w:rsidRPr="004B4A45" w:rsidRDefault="004B4A45" w:rsidP="00F14FA7">
      <w:pPr>
        <w:rPr>
          <w:b/>
          <w:bCs/>
        </w:rPr>
      </w:pPr>
      <w:r>
        <w:rPr>
          <w:b/>
          <w:bCs/>
        </w:rPr>
        <w:t>Funding</w:t>
      </w:r>
    </w:p>
    <w:p w14:paraId="4BB001F7" w14:textId="243E7A78" w:rsidR="004B4A45" w:rsidRDefault="004B4A45" w:rsidP="004B4A45">
      <w:r>
        <w:t>This work is supported by grants from the American Thoracic Society (ASPIRE fellowship), the Intermountain F</w:t>
      </w:r>
      <w:r w:rsidR="007E3ACD">
        <w:t>oundation</w:t>
      </w:r>
      <w:r>
        <w:t>, and the National Institutes of Health (</w:t>
      </w:r>
      <w:r w:rsidRPr="00B30BFC">
        <w:t>Ruth L. Kirschstein National Research Service Award 5T32HL105321</w:t>
      </w:r>
      <w:r>
        <w:t xml:space="preserve"> and </w:t>
      </w:r>
      <w:r w:rsidRPr="00154DF7">
        <w:t>National Center for Advancing Translational Sciences</w:t>
      </w:r>
      <w:r>
        <w:t xml:space="preserve"> Award </w:t>
      </w:r>
      <w:r w:rsidRPr="00154DF7">
        <w:t>UM1TR004409</w:t>
      </w:r>
      <w:r>
        <w:t>)</w:t>
      </w:r>
      <w:r w:rsidR="007B2975">
        <w:t>.</w:t>
      </w:r>
    </w:p>
    <w:p w14:paraId="58A4F74C" w14:textId="77777777" w:rsidR="004B4A45" w:rsidRPr="000F7DCF" w:rsidRDefault="004B4A45" w:rsidP="00F14FA7"/>
    <w:p w14:paraId="13CD6ED2" w14:textId="77777777" w:rsidR="00470292" w:rsidRDefault="00470292" w:rsidP="00F14FA7"/>
    <w:p w14:paraId="553A943A" w14:textId="1281B177" w:rsidR="00F14FA7" w:rsidRDefault="00D71613">
      <w:r w:rsidRPr="00D71613">
        <w:rPr>
          <w:noProof/>
        </w:rPr>
        <w:lastRenderedPageBreak/>
        <w:drawing>
          <wp:inline distT="0" distB="0" distL="0" distR="0" wp14:anchorId="1481E093" wp14:editId="18E6C2B3">
            <wp:extent cx="3518611" cy="1368349"/>
            <wp:effectExtent l="0" t="0" r="0" b="3810"/>
            <wp:docPr id="55663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39111" name=""/>
                    <pic:cNvPicPr/>
                  </pic:nvPicPr>
                  <pic:blipFill>
                    <a:blip r:embed="rId9"/>
                    <a:stretch>
                      <a:fillRect/>
                    </a:stretch>
                  </pic:blipFill>
                  <pic:spPr>
                    <a:xfrm>
                      <a:off x="0" y="0"/>
                      <a:ext cx="3532129" cy="1373606"/>
                    </a:xfrm>
                    <a:prstGeom prst="rect">
                      <a:avLst/>
                    </a:prstGeom>
                  </pic:spPr>
                </pic:pic>
              </a:graphicData>
            </a:graphic>
          </wp:inline>
        </w:drawing>
      </w:r>
    </w:p>
    <w:p w14:paraId="1C3DF420" w14:textId="245046D9" w:rsidR="001658B9" w:rsidRDefault="001658B9"/>
    <w:p w14:paraId="7E1BAE4B" w14:textId="51B95497" w:rsidR="00072D87" w:rsidRDefault="00072D87">
      <w:r w:rsidRPr="00072D87">
        <w:rPr>
          <w:noProof/>
        </w:rPr>
        <w:drawing>
          <wp:inline distT="0" distB="0" distL="0" distR="0" wp14:anchorId="4DEEFF4B" wp14:editId="287A9E58">
            <wp:extent cx="3522269" cy="2348179"/>
            <wp:effectExtent l="0" t="0" r="0" b="1905"/>
            <wp:docPr id="3" name="Picture 2">
              <a:extLst xmlns:a="http://schemas.openxmlformats.org/drawingml/2006/main">
                <a:ext uri="{FF2B5EF4-FFF2-40B4-BE49-F238E27FC236}">
                  <a16:creationId xmlns:a16="http://schemas.microsoft.com/office/drawing/2014/main" id="{1421DCE3-4D8F-1C04-A08A-E9DABEFC8F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421DCE3-4D8F-1C04-A08A-E9DABEFC8F44}"/>
                        </a:ext>
                      </a:extLst>
                    </pic:cNvPr>
                    <pic:cNvPicPr>
                      <a:picLocks noChangeAspect="1"/>
                    </pic:cNvPicPr>
                  </pic:nvPicPr>
                  <pic:blipFill>
                    <a:blip r:embed="rId10"/>
                    <a:stretch>
                      <a:fillRect/>
                    </a:stretch>
                  </pic:blipFill>
                  <pic:spPr>
                    <a:xfrm>
                      <a:off x="0" y="0"/>
                      <a:ext cx="3533772" cy="2355848"/>
                    </a:xfrm>
                    <a:prstGeom prst="rect">
                      <a:avLst/>
                    </a:prstGeom>
                  </pic:spPr>
                </pic:pic>
              </a:graphicData>
            </a:graphic>
          </wp:inline>
        </w:drawing>
      </w:r>
    </w:p>
    <w:p w14:paraId="74EA821A" w14:textId="77777777" w:rsidR="00D71613" w:rsidRDefault="00D71613"/>
    <w:p w14:paraId="37B57E54" w14:textId="77777777" w:rsidR="00315405" w:rsidRDefault="00315405"/>
    <w:p w14:paraId="2E48F8FE" w14:textId="77777777" w:rsidR="005A3752" w:rsidRPr="005A3752" w:rsidRDefault="00315405" w:rsidP="005A3752">
      <w:pPr>
        <w:pStyle w:val="Bibliography"/>
      </w:pPr>
      <w:r>
        <w:fldChar w:fldCharType="begin"/>
      </w:r>
      <w:r>
        <w:instrText xml:space="preserve"> ADDIN ZOTERO_BIBL {"uncited":[],"omitted":[],"custom":[]} CSL_BIBLIOGRAPHY </w:instrText>
      </w:r>
      <w:r>
        <w:fldChar w:fldCharType="separate"/>
      </w:r>
      <w:r w:rsidR="005A3752" w:rsidRPr="005A3752">
        <w:t>1.</w:t>
      </w:r>
      <w:r w:rsidR="005A3752" w:rsidRPr="005A3752">
        <w:tab/>
        <w:t xml:space="preserve">Konishi M, Akiyama E, Suzuki H, et al. Hypercapnia in patients with acute heart failure. </w:t>
      </w:r>
      <w:r w:rsidR="005A3752" w:rsidRPr="005A3752">
        <w:rPr>
          <w:i/>
          <w:iCs/>
        </w:rPr>
        <w:t>ESC Heart Fail</w:t>
      </w:r>
      <w:r w:rsidR="005A3752" w:rsidRPr="005A3752">
        <w:t>. 2015;2(1):12-19. doi:10.1002/ehf2.12023</w:t>
      </w:r>
    </w:p>
    <w:p w14:paraId="4084E6FD" w14:textId="77777777" w:rsidR="005A3752" w:rsidRPr="005A3752" w:rsidRDefault="005A3752" w:rsidP="005A3752">
      <w:pPr>
        <w:pStyle w:val="Bibliography"/>
      </w:pPr>
      <w:r w:rsidRPr="005A3752">
        <w:t>2.</w:t>
      </w:r>
      <w:r w:rsidRPr="005A3752">
        <w:tab/>
        <w:t xml:space="preserve">Nin N, Muriel A, Peñuelas O, et al. Severe hypercapnia and outcome of mechanically ventilated patients with moderate or severe acute respiratory distress syndrome. </w:t>
      </w:r>
      <w:r w:rsidRPr="005A3752">
        <w:rPr>
          <w:i/>
          <w:iCs/>
        </w:rPr>
        <w:t>Intensive Care Med</w:t>
      </w:r>
      <w:r w:rsidRPr="005A3752">
        <w:t>. 2017;43(2):200-208. doi:10.1007/s00134-016-4611-1</w:t>
      </w:r>
    </w:p>
    <w:p w14:paraId="459E5306" w14:textId="77777777" w:rsidR="005A3752" w:rsidRPr="005A3752" w:rsidRDefault="005A3752" w:rsidP="005A3752">
      <w:pPr>
        <w:pStyle w:val="Bibliography"/>
      </w:pPr>
      <w:r w:rsidRPr="005A3752">
        <w:t>3.</w:t>
      </w:r>
      <w:r w:rsidRPr="005A3752">
        <w:tab/>
        <w:t xml:space="preserve">Wilson MW, Labaki WW, Choi PJ. Mortality and Healthcare Use of Patients with Compensated Hypercapnia. </w:t>
      </w:r>
      <w:r w:rsidRPr="005A3752">
        <w:rPr>
          <w:i/>
          <w:iCs/>
        </w:rPr>
        <w:t>Ann Am Thorac Soc</w:t>
      </w:r>
      <w:r w:rsidRPr="005A3752">
        <w:t>. 18(12):2027-2032. doi:10.1513/AnnalsATS.202009-1197OC</w:t>
      </w:r>
    </w:p>
    <w:p w14:paraId="65E3E239" w14:textId="77777777" w:rsidR="005A3752" w:rsidRPr="005A3752" w:rsidRDefault="005A3752" w:rsidP="005A3752">
      <w:pPr>
        <w:pStyle w:val="Bibliography"/>
      </w:pPr>
      <w:r w:rsidRPr="005A3752">
        <w:t>4.</w:t>
      </w:r>
      <w:r w:rsidRPr="005A3752">
        <w:tab/>
        <w:t>Fazekas AS, Aboulghaith M, Kriz RC, et al. Long-term outcomes after acute hypercapnic COPD exacerbation</w:t>
      </w:r>
      <w:r w:rsidRPr="005A3752">
        <w:rPr>
          <w:rFonts w:ascii="Arial" w:hAnsi="Arial" w:cs="Arial"/>
        </w:rPr>
        <w:t> </w:t>
      </w:r>
      <w:r w:rsidRPr="005A3752">
        <w:t xml:space="preserve">: First-ever episode of non-invasive ventilation. </w:t>
      </w:r>
      <w:r w:rsidRPr="005A3752">
        <w:rPr>
          <w:i/>
          <w:iCs/>
        </w:rPr>
        <w:t>Wien Klin Wochenschr</w:t>
      </w:r>
      <w:r w:rsidRPr="005A3752">
        <w:t>. 2018;130(19-20):561-568. doi:10.1007/s00508-018-1364-6</w:t>
      </w:r>
    </w:p>
    <w:p w14:paraId="726A84C3" w14:textId="77777777" w:rsidR="005A3752" w:rsidRPr="005A3752" w:rsidRDefault="005A3752" w:rsidP="005A3752">
      <w:pPr>
        <w:pStyle w:val="Bibliography"/>
      </w:pPr>
      <w:r w:rsidRPr="005A3752">
        <w:t>5.</w:t>
      </w:r>
      <w:r w:rsidRPr="005A3752">
        <w:tab/>
        <w:t xml:space="preserve">Tiruvoipati R, Pilcher D, Buscher H, Botha J, Bailey M. Effects of Hypercapnia and Hypercapnic Acidosis on Hospital Mortality in Mechanically Ventilated Patients. </w:t>
      </w:r>
      <w:r w:rsidRPr="005A3752">
        <w:rPr>
          <w:i/>
          <w:iCs/>
        </w:rPr>
        <w:t>Crit Care Med</w:t>
      </w:r>
      <w:r w:rsidRPr="005A3752">
        <w:t>. 2017;45(7):e649-e656. doi:10.1097/CCM.0000000000002332</w:t>
      </w:r>
    </w:p>
    <w:p w14:paraId="7B7427CB" w14:textId="77777777" w:rsidR="005A3752" w:rsidRPr="005A3752" w:rsidRDefault="005A3752" w:rsidP="005A3752">
      <w:pPr>
        <w:pStyle w:val="Bibliography"/>
      </w:pPr>
      <w:r w:rsidRPr="005A3752">
        <w:t>6.</w:t>
      </w:r>
      <w:r w:rsidRPr="005A3752">
        <w:tab/>
        <w:t xml:space="preserve">Locke BW, Richards WW, Gouripeddi R, et al. The Consistency of Hypercapnic Respiratory Failure Case Definitions in Electronic Health Record Data. </w:t>
      </w:r>
      <w:r w:rsidRPr="005A3752">
        <w:rPr>
          <w:i/>
          <w:iCs/>
        </w:rPr>
        <w:t>Chest</w:t>
      </w:r>
      <w:r w:rsidRPr="005A3752">
        <w:t>. Published online August 28, 2025:S0012-3692(25)05126-8. doi:10.1016/j.chest.2025.08.002</w:t>
      </w:r>
    </w:p>
    <w:p w14:paraId="322799CC" w14:textId="77777777" w:rsidR="005A3752" w:rsidRPr="005A3752" w:rsidRDefault="005A3752" w:rsidP="005A3752">
      <w:pPr>
        <w:pStyle w:val="Bibliography"/>
      </w:pPr>
      <w:r w:rsidRPr="005A3752">
        <w:lastRenderedPageBreak/>
        <w:t>7.</w:t>
      </w:r>
      <w:r w:rsidRPr="005A3752">
        <w:tab/>
        <w:t xml:space="preserve">Baptistella CDPA, Mendes C de A, Silva MJ, Wolosker N. Retrospective Observational Single-Center Study of Complications of Arterial Indwelling Catheters for Invasive Blood Pressure in Intensive Care Unit Patients. </w:t>
      </w:r>
      <w:r w:rsidRPr="005A3752">
        <w:rPr>
          <w:i/>
          <w:iCs/>
        </w:rPr>
        <w:t>Angiology</w:t>
      </w:r>
      <w:r w:rsidRPr="005A3752">
        <w:t>. 2022;73(5):431-437. doi:10.1177/00033197211052127</w:t>
      </w:r>
    </w:p>
    <w:p w14:paraId="3443F51C" w14:textId="77777777" w:rsidR="005A3752" w:rsidRPr="005A3752" w:rsidRDefault="005A3752" w:rsidP="005A3752">
      <w:pPr>
        <w:pStyle w:val="Bibliography"/>
      </w:pPr>
      <w:r w:rsidRPr="005A3752">
        <w:t>8.</w:t>
      </w:r>
      <w:r w:rsidRPr="005A3752">
        <w:tab/>
        <w:t xml:space="preserve">Scheer B, Perel A, Pfeiffer UJ. Clinical review: complications and risk factors of peripheral arterial catheters used for haemodynamic monitoring in anaesthesia and intensive care medicine. </w:t>
      </w:r>
      <w:r w:rsidRPr="005A3752">
        <w:rPr>
          <w:i/>
          <w:iCs/>
        </w:rPr>
        <w:t>Crit Care Lond Engl</w:t>
      </w:r>
      <w:r w:rsidRPr="005A3752">
        <w:t>. 2002;6(3):199-204. doi:10.1186/cc1489</w:t>
      </w:r>
    </w:p>
    <w:p w14:paraId="2E1F1062" w14:textId="77777777" w:rsidR="005A3752" w:rsidRPr="005A3752" w:rsidRDefault="005A3752" w:rsidP="005A3752">
      <w:pPr>
        <w:pStyle w:val="Bibliography"/>
      </w:pPr>
      <w:r w:rsidRPr="005A3752">
        <w:t>9.</w:t>
      </w:r>
      <w:r w:rsidRPr="005A3752">
        <w:tab/>
        <w:t xml:space="preserve">Farenden S, Chung Y, Cui A, Ferguson I. Prospective, observational study investigating the level of agreement between transcutaneous and invasive carbon dioxide measurements in critically ill emergency department patients. </w:t>
      </w:r>
      <w:r w:rsidRPr="005A3752">
        <w:rPr>
          <w:i/>
          <w:iCs/>
        </w:rPr>
        <w:t>Emerg Med J EMJ</w:t>
      </w:r>
      <w:r w:rsidRPr="005A3752">
        <w:t>. 2023;40(9):646-650. doi:10.1136/emermed-2022-212465</w:t>
      </w:r>
    </w:p>
    <w:p w14:paraId="78C457F0" w14:textId="77777777" w:rsidR="005A3752" w:rsidRPr="005A3752" w:rsidRDefault="005A3752" w:rsidP="005A3752">
      <w:pPr>
        <w:pStyle w:val="Bibliography"/>
      </w:pPr>
      <w:r w:rsidRPr="005A3752">
        <w:t>10.</w:t>
      </w:r>
      <w:r w:rsidRPr="005A3752">
        <w:tab/>
        <w:t xml:space="preserve">Conway A, Tipton E, Liu WH, et al. Accuracy and precision of transcutaneous carbon dioxide monitoring: a systematic review and meta-analysis. </w:t>
      </w:r>
      <w:r w:rsidRPr="005A3752">
        <w:rPr>
          <w:i/>
          <w:iCs/>
        </w:rPr>
        <w:t>Thorax</w:t>
      </w:r>
      <w:r w:rsidRPr="005A3752">
        <w:t>. 2019;74(2):157-163. doi:10.1136/thoraxjnl-2017-211466</w:t>
      </w:r>
    </w:p>
    <w:p w14:paraId="76394157" w14:textId="1F6E9850" w:rsidR="00315405" w:rsidRDefault="00315405" w:rsidP="005A3752">
      <w:pPr>
        <w:pStyle w:val="Bibliography"/>
      </w:pPr>
      <w:r>
        <w:fldChar w:fldCharType="end"/>
      </w:r>
    </w:p>
    <w:sectPr w:rsidR="00315405" w:rsidSect="003864E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rian Locke" w:date="2025-12-17T13:55:00Z" w:initials="BL">
    <w:p w14:paraId="0A2AED27" w14:textId="77777777" w:rsidR="009507B7" w:rsidRDefault="009507B7" w:rsidP="009507B7">
      <w:r>
        <w:rPr>
          <w:rStyle w:val="CommentReference"/>
        </w:rPr>
        <w:annotationRef/>
      </w:r>
      <w:r>
        <w:rPr>
          <w:sz w:val="20"/>
          <w:szCs w:val="20"/>
        </w:rPr>
        <w:t>A Short Report describes novel findings that have potential clinical impact but are not developed enough to warrant publication as Original Research. Short Reports should not be interim analyses of ongoing projects. Case reports will not be considered.</w:t>
      </w:r>
    </w:p>
    <w:p w14:paraId="2BD8AD1D" w14:textId="77777777" w:rsidR="009507B7" w:rsidRDefault="009507B7" w:rsidP="009507B7"/>
    <w:p w14:paraId="3275F100" w14:textId="77777777" w:rsidR="009507B7" w:rsidRDefault="009507B7" w:rsidP="009507B7">
      <w:r>
        <w:rPr>
          <w:sz w:val="20"/>
          <w:szCs w:val="20"/>
        </w:rPr>
        <w:t>1,500-word limit (must include: Title Page, Introduction, Methods, Results, Discussion, and References)</w:t>
      </w:r>
    </w:p>
    <w:p w14:paraId="71AB6111" w14:textId="77777777" w:rsidR="009507B7" w:rsidRDefault="009507B7" w:rsidP="009507B7">
      <w:r>
        <w:rPr>
          <w:sz w:val="20"/>
          <w:szCs w:val="20"/>
        </w:rPr>
        <w:t>No abstract and no supplementary material</w:t>
      </w:r>
    </w:p>
    <w:p w14:paraId="56B7C1BC" w14:textId="77777777" w:rsidR="009507B7" w:rsidRDefault="009507B7" w:rsidP="009507B7">
      <w:r>
        <w:rPr>
          <w:sz w:val="20"/>
          <w:szCs w:val="20"/>
        </w:rPr>
        <w:t>Maximum of 2 figures and/or tables</w:t>
      </w:r>
    </w:p>
    <w:p w14:paraId="2FA72950" w14:textId="77777777" w:rsidR="009507B7" w:rsidRDefault="009507B7" w:rsidP="009507B7">
      <w:r>
        <w:rPr>
          <w:sz w:val="20"/>
          <w:szCs w:val="20"/>
        </w:rPr>
        <w:t>Maximum of 15 references</w:t>
      </w:r>
    </w:p>
  </w:comment>
  <w:comment w:id="1" w:author="Brian Locke [2]" w:date="2025-12-20T12:55:00Z" w:initials="BL">
    <w:p w14:paraId="3EA4BF76" w14:textId="77777777" w:rsidR="006704B4" w:rsidRDefault="006704B4" w:rsidP="006704B4">
      <w:r>
        <w:rPr>
          <w:rStyle w:val="CommentReference"/>
        </w:rPr>
        <w:annotationRef/>
      </w:r>
      <w:r>
        <w:rPr>
          <w:sz w:val="20"/>
          <w:szCs w:val="20"/>
        </w:rPr>
        <w:t>I'd suggest we go for "Respiratory Care - Short Report" ^ Requirements above</w:t>
      </w:r>
    </w:p>
  </w:comment>
  <w:comment w:id="2" w:author="Brian Locke" w:date="2025-12-17T14:01:00Z" w:initials="BL">
    <w:p w14:paraId="41E967B4" w14:textId="49301C61" w:rsidR="009507B7" w:rsidRDefault="009507B7" w:rsidP="009507B7">
      <w:r>
        <w:rPr>
          <w:rStyle w:val="CommentReference"/>
        </w:rPr>
        <w:annotationRef/>
      </w:r>
      <w:r>
        <w:rPr>
          <w:sz w:val="20"/>
          <w:szCs w:val="20"/>
        </w:rPr>
        <w:t xml:space="preserve">This hampers their acceptability for use in routine monitoring, as an entry or screening criteria, or as a screen. </w:t>
      </w:r>
    </w:p>
  </w:comment>
  <w:comment w:id="3" w:author="Brian Locke" w:date="2025-12-17T14:01:00Z" w:initials="BL">
    <w:p w14:paraId="0775A0A5" w14:textId="77777777" w:rsidR="009507B7" w:rsidRDefault="009507B7" w:rsidP="009507B7">
      <w:r>
        <w:rPr>
          <w:rStyle w:val="CommentReference"/>
        </w:rPr>
        <w:annotationRef/>
      </w:r>
      <w:r>
        <w:rPr>
          <w:sz w:val="20"/>
          <w:szCs w:val="20"/>
        </w:rPr>
        <w:t xml:space="preserve">or that its clinical utility is insufficient warrant reimbursement for the assessments. </w:t>
      </w:r>
    </w:p>
  </w:comment>
  <w:comment w:id="4" w:author="Brian Locke" w:date="2025-12-17T14:06:00Z" w:initials="BL">
    <w:p w14:paraId="739A0E6F" w14:textId="77777777" w:rsidR="00142523" w:rsidRDefault="00142523" w:rsidP="00142523">
      <w:r>
        <w:rPr>
          <w:rStyle w:val="CommentReference"/>
        </w:rPr>
        <w:annotationRef/>
      </w:r>
      <w:r>
        <w:rPr>
          <w:sz w:val="20"/>
          <w:szCs w:val="20"/>
        </w:rPr>
        <w:t xml:space="preserve">I think we should mention the hypothetical nature: We simulated what the operating characteristics would have been if TcCO2 were used in all patients who received arterial blood gasses. </w:t>
      </w:r>
    </w:p>
  </w:comment>
  <w:comment w:id="5" w:author="Brian Locke [2]" w:date="2025-12-21T12:39:00Z" w:initials="BL">
    <w:p w14:paraId="3A10EA72" w14:textId="77777777" w:rsidR="00D0284B" w:rsidRDefault="00D0284B" w:rsidP="00D0284B">
      <w:r>
        <w:rPr>
          <w:rStyle w:val="CommentReference"/>
        </w:rPr>
        <w:annotationRef/>
      </w:r>
      <w:r>
        <w:rPr>
          <w:sz w:val="20"/>
          <w:szCs w:val="20"/>
        </w:rPr>
        <w:t>I'd probably split this out into sub-paragraphs: the first one explaining the overall structure as a simulated application of a meta-analytic disagreement model and routinely collected EHR data. Then a paragraph talking about inclusions, then a paragraph talking about the modeling, then a paragraph about the outcome classification (even if each 'paragraph' is like 1-3 sentences I think this'll make it easier to grok</w:t>
      </w:r>
    </w:p>
  </w:comment>
  <w:comment w:id="6" w:author="Brian Locke" w:date="2025-12-17T14:08:00Z" w:initials="BL">
    <w:p w14:paraId="0592A1FC" w14:textId="2065B126" w:rsidR="00142523" w:rsidRDefault="00142523" w:rsidP="00142523">
      <w:r>
        <w:rPr>
          <w:rStyle w:val="CommentReference"/>
        </w:rPr>
        <w:annotationRef/>
      </w:r>
      <w:r>
        <w:rPr>
          <w:sz w:val="20"/>
          <w:szCs w:val="20"/>
        </w:rPr>
        <w:t xml:space="preserve">I think technically the designation is just "outpuatient", but it's hard to imagine many of these in situations other than PFTs - we should probably mention that it's just an assumption though. </w:t>
      </w:r>
    </w:p>
  </w:comment>
  <w:comment w:id="7" w:author="Brian Locke [2]" w:date="2025-12-21T12:39:00Z" w:initials="BL">
    <w:p w14:paraId="7849C336" w14:textId="77777777" w:rsidR="00D0284B" w:rsidRDefault="00D0284B" w:rsidP="00D0284B">
      <w:r>
        <w:rPr>
          <w:rStyle w:val="CommentReference"/>
        </w:rPr>
        <w:annotationRef/>
      </w:r>
      <w:r>
        <w:rPr>
          <w:sz w:val="20"/>
          <w:szCs w:val="20"/>
        </w:rPr>
        <w:t>ie. we should probably say we make the assumption that outpatient blood gasses were almost exclusively obtained in a PFT setting, but we don't know that for sure</w:t>
      </w:r>
    </w:p>
  </w:comment>
  <w:comment w:id="9" w:author="Brian Locke [2]" w:date="2025-12-20T18:56:00Z" w:initials="BL">
    <w:p w14:paraId="36F2D168" w14:textId="2B6F2DD5" w:rsidR="00670CEB" w:rsidRDefault="00670CEB" w:rsidP="00670CEB">
      <w:r>
        <w:rPr>
          <w:rStyle w:val="CommentReference"/>
        </w:rPr>
        <w:annotationRef/>
      </w:r>
      <w:r>
        <w:rPr>
          <w:sz w:val="20"/>
          <w:szCs w:val="20"/>
        </w:rPr>
        <w:t>we should probably switch from “per ABG” to “encounters with an arterial CO2 recorded”as the unit of the analysis through the paper (as we took first ABGs on the calendar day of admission only)</w:t>
      </w:r>
    </w:p>
  </w:comment>
  <w:comment w:id="10" w:author="Brian Locke" w:date="2025-12-17T14:10:00Z" w:initials="BL">
    <w:p w14:paraId="51098084" w14:textId="1EE769F1" w:rsidR="00142523" w:rsidRDefault="00142523" w:rsidP="00142523">
      <w:r>
        <w:rPr>
          <w:rStyle w:val="CommentReference"/>
        </w:rPr>
        <w:annotationRef/>
      </w:r>
      <w:r>
        <w:rPr>
          <w:sz w:val="20"/>
          <w:szCs w:val="20"/>
        </w:rPr>
        <w:t xml:space="preserve">should we maybe do median and IQR? </w:t>
      </w:r>
    </w:p>
  </w:comment>
  <w:comment w:id="8" w:author="Brian Locke [2]" w:date="2025-12-21T12:56:00Z" w:initials="BL">
    <w:p w14:paraId="6A98DB3D" w14:textId="77777777" w:rsidR="00AF10CE" w:rsidRDefault="00AF10CE" w:rsidP="00AF10CE">
      <w:r>
        <w:rPr>
          <w:rStyle w:val="CommentReference"/>
        </w:rPr>
        <w:annotationRef/>
      </w:r>
      <w:r>
        <w:rPr>
          <w:sz w:val="20"/>
          <w:szCs w:val="20"/>
        </w:rPr>
        <w:t>We should probably characterize the population a bit more in terms of daignosed conditions - does the version of the dataset I gave you have that?</w:t>
      </w:r>
    </w:p>
  </w:comment>
  <w:comment w:id="11" w:author="Brian Locke [2]" w:date="2025-12-21T12:59:00Z" w:initials="BL">
    <w:p w14:paraId="623259B1" w14:textId="77777777" w:rsidR="006C18D2" w:rsidRDefault="006C18D2" w:rsidP="006C18D2">
      <w:r>
        <w:rPr>
          <w:rStyle w:val="CommentReference"/>
        </w:rPr>
        <w:annotationRef/>
      </w:r>
      <w:r>
        <w:rPr>
          <w:sz w:val="20"/>
          <w:szCs w:val="20"/>
        </w:rPr>
        <w:t>I'd modify this sentence a little to also include the distribution of PaCo2 values... e.g. Our data suggest that with the usual distribution of PaCO2 values and reported levels of agreement, that TcCO2 use in the types of patients who current recieve ABGs would usually yield the correct classification of whether hypercapnia is present or not.</w:t>
      </w:r>
    </w:p>
  </w:comment>
  <w:comment w:id="12" w:author="Brian Locke [2]" w:date="2025-12-21T13:03:00Z" w:initials="BL">
    <w:p w14:paraId="295EDC34" w14:textId="77777777" w:rsidR="006C18D2" w:rsidRDefault="006C18D2" w:rsidP="006C18D2">
      <w:r>
        <w:rPr>
          <w:rStyle w:val="CommentReference"/>
        </w:rPr>
        <w:annotationRef/>
      </w:r>
      <w:r>
        <w:rPr>
          <w:sz w:val="20"/>
          <w:szCs w:val="20"/>
        </w:rPr>
        <w:t>I think a sentence on how our work extends the literature would be good - so the spell out specifically - prior literature characterized the expected agreement between the two measures, but we've extended that by modeling how appilcation of that degree of agreement woudl function when applied to the usual degree of PaCO2 derangement seen in clinical practice.</w:t>
      </w:r>
    </w:p>
  </w:comment>
  <w:comment w:id="13" w:author="Brian Locke [2]" w:date="2025-12-21T13:02:00Z" w:initials="BL">
    <w:p w14:paraId="57CACF7B" w14:textId="054891DE" w:rsidR="006C18D2" w:rsidRDefault="006C18D2" w:rsidP="006C18D2">
      <w:r>
        <w:rPr>
          <w:rStyle w:val="CommentReference"/>
        </w:rPr>
        <w:annotationRef/>
      </w:r>
      <w:r>
        <w:rPr>
          <w:sz w:val="20"/>
          <w:szCs w:val="20"/>
        </w:rPr>
        <w:t>we could probably make this more precise - probably the clinical utility of a non-invasive measurement would preferentially be in patients with mild abnormalities (because when severe, who cares about the abg stick?) - so could say, that the population that would benefit greatest might have milder derangements, and thus classification accuracy may decrease</w:t>
      </w:r>
    </w:p>
  </w:comment>
  <w:comment w:id="14" w:author="Brian Locke [2]" w:date="2025-12-21T13:14:00Z" w:initials="BL">
    <w:p w14:paraId="6244F558" w14:textId="77777777" w:rsidR="00C83094" w:rsidRDefault="00C83094" w:rsidP="00C83094">
      <w:r>
        <w:rPr>
          <w:rStyle w:val="CommentReference"/>
        </w:rPr>
        <w:annotationRef/>
      </w:r>
      <w:r>
        <w:rPr>
          <w:sz w:val="20"/>
          <w:szCs w:val="20"/>
        </w:rPr>
        <w:t>I think this could be combined with the last point - right? ie. the contextual modifiers (physiology, user error) etc. are reasons for non-normal error sizes - and to the extent that actual users are less fastidious than the trial folks this could be a problem</w:t>
      </w:r>
    </w:p>
  </w:comment>
  <w:comment w:id="15" w:author="Brian Locke [2]" w:date="2025-12-21T13:02:00Z" w:initials="BL">
    <w:p w14:paraId="1907CA4B" w14:textId="56BA7D9C" w:rsidR="006C18D2" w:rsidRDefault="006C18D2" w:rsidP="006C18D2">
      <w:r>
        <w:rPr>
          <w:rStyle w:val="CommentReference"/>
        </w:rPr>
        <w:annotationRef/>
      </w:r>
      <w:r>
        <w:rPr>
          <w:sz w:val="20"/>
          <w:szCs w:val="20"/>
        </w:rPr>
        <w:t>should we frame this as: we have limited ability to account for contextual modifiers (e.g., perfusion, temperature) in our measurement‑error assumptions</w:t>
      </w:r>
    </w:p>
  </w:comment>
  <w:comment w:id="16" w:author="Brian Locke [2]" w:date="2025-12-21T13:30:00Z" w:initials="BL">
    <w:p w14:paraId="6951645A" w14:textId="77777777" w:rsidR="00896177" w:rsidRDefault="00896177" w:rsidP="00896177">
      <w:r>
        <w:rPr>
          <w:rStyle w:val="CommentReference"/>
        </w:rPr>
        <w:annotationRef/>
      </w:r>
      <w:r>
        <w:rPr>
          <w:sz w:val="20"/>
          <w:szCs w:val="20"/>
        </w:rPr>
        <w:t xml:space="preserve">I like this - I think we should mention that TcCO2 can be used for a variety of purposes (e.g. treatment response monitoring, categorization of sleep deisordered breathing, post-operative monitoring etc.) and that guidance documents have given an arbitrary accuracy target - but what we've done is said at least for the purposes of categorizing who has hypercapnia and not - TcCO2 is likely sufficient for many purposes. </w:t>
      </w:r>
    </w:p>
  </w:comment>
  <w:comment w:id="17" w:author="Brian Locke [2]" w:date="2025-12-21T13:31:00Z" w:initials="BL">
    <w:p w14:paraId="3697F87D" w14:textId="77777777" w:rsidR="00896177" w:rsidRDefault="00896177" w:rsidP="00896177">
      <w:r>
        <w:rPr>
          <w:rStyle w:val="CommentReference"/>
        </w:rPr>
        <w:annotationRef/>
      </w:r>
      <w:r>
        <w:rPr>
          <w:sz w:val="20"/>
          <w:szCs w:val="20"/>
        </w:rPr>
        <w:t>one tricky issue we might get into with the continuous monitoring angle is that we haven't necessarily investigated repeated measures - so things like drift and correlated errors could be bigger problems that we haven't assessed. It seems like the right analogy is pulse oximetry screening for hypoxemia (e.g. at ED intake)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A72950" w15:done="0"/>
  <w15:commentEx w15:paraId="3EA4BF76" w15:paraIdParent="2FA72950" w15:done="0"/>
  <w15:commentEx w15:paraId="41E967B4" w15:done="0"/>
  <w15:commentEx w15:paraId="0775A0A5" w15:done="0"/>
  <w15:commentEx w15:paraId="739A0E6F" w15:done="0"/>
  <w15:commentEx w15:paraId="3A10EA72" w15:done="0"/>
  <w15:commentEx w15:paraId="0592A1FC" w15:done="0"/>
  <w15:commentEx w15:paraId="7849C336" w15:paraIdParent="0592A1FC" w15:done="0"/>
  <w15:commentEx w15:paraId="36F2D168" w15:done="0"/>
  <w15:commentEx w15:paraId="51098084" w15:done="0"/>
  <w15:commentEx w15:paraId="6A98DB3D" w15:done="0"/>
  <w15:commentEx w15:paraId="623259B1" w15:done="0"/>
  <w15:commentEx w15:paraId="295EDC34" w15:done="0"/>
  <w15:commentEx w15:paraId="57CACF7B" w15:done="0"/>
  <w15:commentEx w15:paraId="6244F558" w15:done="0"/>
  <w15:commentEx w15:paraId="1907CA4B" w15:done="0"/>
  <w15:commentEx w15:paraId="6951645A" w15:done="0"/>
  <w15:commentEx w15:paraId="3697F8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36FC2C" w16cex:dateUtc="2025-12-17T20:55:00Z"/>
  <w16cex:commentExtensible w16cex:durableId="23D375FF" w16cex:dateUtc="2025-12-20T19:55:00Z"/>
  <w16cex:commentExtensible w16cex:durableId="3BF01082" w16cex:dateUtc="2025-12-17T21:01:00Z"/>
  <w16cex:commentExtensible w16cex:durableId="202381BA" w16cex:dateUtc="2025-12-17T21:01:00Z"/>
  <w16cex:commentExtensible w16cex:durableId="1A5A4AB6" w16cex:dateUtc="2025-12-17T21:06:00Z"/>
  <w16cex:commentExtensible w16cex:durableId="13871A24" w16cex:dateUtc="2025-12-21T19:39:00Z"/>
  <w16cex:commentExtensible w16cex:durableId="1115A968" w16cex:dateUtc="2025-12-17T21:08:00Z"/>
  <w16cex:commentExtensible w16cex:durableId="4D1D6BCC" w16cex:dateUtc="2025-12-21T19:39:00Z"/>
  <w16cex:commentExtensible w16cex:durableId="47A9EE8D" w16cex:dateUtc="2025-12-21T01:56:00Z"/>
  <w16cex:commentExtensible w16cex:durableId="34D76D27" w16cex:dateUtc="2025-12-17T21:10:00Z"/>
  <w16cex:commentExtensible w16cex:durableId="1305640A" w16cex:dateUtc="2025-12-21T19:56:00Z"/>
  <w16cex:commentExtensible w16cex:durableId="1E73E0EF" w16cex:dateUtc="2025-12-21T19:59:00Z"/>
  <w16cex:commentExtensible w16cex:durableId="1F62F80E" w16cex:dateUtc="2025-12-21T20:03:00Z"/>
  <w16cex:commentExtensible w16cex:durableId="7BA684FA" w16cex:dateUtc="2025-12-21T20:02:00Z"/>
  <w16cex:commentExtensible w16cex:durableId="78F45D3D" w16cex:dateUtc="2025-12-21T20:14:00Z"/>
  <w16cex:commentExtensible w16cex:durableId="05CC3CF2" w16cex:dateUtc="2025-12-21T20:02:00Z"/>
  <w16cex:commentExtensible w16cex:durableId="28F635AE" w16cex:dateUtc="2025-12-21T20:30:00Z"/>
  <w16cex:commentExtensible w16cex:durableId="113E15BF" w16cex:dateUtc="2025-12-21T20: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A72950" w16cid:durableId="3136FC2C"/>
  <w16cid:commentId w16cid:paraId="3EA4BF76" w16cid:durableId="23D375FF"/>
  <w16cid:commentId w16cid:paraId="41E967B4" w16cid:durableId="3BF01082"/>
  <w16cid:commentId w16cid:paraId="0775A0A5" w16cid:durableId="202381BA"/>
  <w16cid:commentId w16cid:paraId="739A0E6F" w16cid:durableId="1A5A4AB6"/>
  <w16cid:commentId w16cid:paraId="3A10EA72" w16cid:durableId="13871A24"/>
  <w16cid:commentId w16cid:paraId="0592A1FC" w16cid:durableId="1115A968"/>
  <w16cid:commentId w16cid:paraId="7849C336" w16cid:durableId="4D1D6BCC"/>
  <w16cid:commentId w16cid:paraId="36F2D168" w16cid:durableId="47A9EE8D"/>
  <w16cid:commentId w16cid:paraId="51098084" w16cid:durableId="34D76D27"/>
  <w16cid:commentId w16cid:paraId="6A98DB3D" w16cid:durableId="1305640A"/>
  <w16cid:commentId w16cid:paraId="623259B1" w16cid:durableId="1E73E0EF"/>
  <w16cid:commentId w16cid:paraId="295EDC34" w16cid:durableId="1F62F80E"/>
  <w16cid:commentId w16cid:paraId="57CACF7B" w16cid:durableId="7BA684FA"/>
  <w16cid:commentId w16cid:paraId="6244F558" w16cid:durableId="78F45D3D"/>
  <w16cid:commentId w16cid:paraId="1907CA4B" w16cid:durableId="05CC3CF2"/>
  <w16cid:commentId w16cid:paraId="6951645A" w16cid:durableId="28F635AE"/>
  <w16cid:commentId w16cid:paraId="3697F87D" w16cid:durableId="113E15B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7F0F40"/>
    <w:multiLevelType w:val="multilevel"/>
    <w:tmpl w:val="0409001D"/>
    <w:styleLink w:val="Style1"/>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46859946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an Locke">
    <w15:presenceInfo w15:providerId="AD" w15:userId="S::u0476159@umail.utah.edu::6b682560-f349-4700-93d6-cc89da2ba435"/>
  </w15:person>
  <w15:person w15:author="Brian Locke [2]">
    <w15:presenceInfo w15:providerId="AD" w15:userId="S::locke@mountainbiometrics.com::3e92e2c1-cba6-4306-8707-a9c18ff46f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F3E"/>
    <w:rsid w:val="000032E5"/>
    <w:rsid w:val="00016AF5"/>
    <w:rsid w:val="00032E42"/>
    <w:rsid w:val="00046A59"/>
    <w:rsid w:val="00072D87"/>
    <w:rsid w:val="00086154"/>
    <w:rsid w:val="000B4069"/>
    <w:rsid w:val="000B6D2B"/>
    <w:rsid w:val="00114A41"/>
    <w:rsid w:val="0012116A"/>
    <w:rsid w:val="00125131"/>
    <w:rsid w:val="00125C18"/>
    <w:rsid w:val="001311E4"/>
    <w:rsid w:val="00142523"/>
    <w:rsid w:val="0014370B"/>
    <w:rsid w:val="00143957"/>
    <w:rsid w:val="001449F5"/>
    <w:rsid w:val="00153679"/>
    <w:rsid w:val="0015653D"/>
    <w:rsid w:val="001568BC"/>
    <w:rsid w:val="00164ED6"/>
    <w:rsid w:val="001658B9"/>
    <w:rsid w:val="00175CB8"/>
    <w:rsid w:val="001803C7"/>
    <w:rsid w:val="00190585"/>
    <w:rsid w:val="00196A4B"/>
    <w:rsid w:val="00197A74"/>
    <w:rsid w:val="001A3F21"/>
    <w:rsid w:val="001D69A4"/>
    <w:rsid w:val="001E227E"/>
    <w:rsid w:val="001F0F93"/>
    <w:rsid w:val="00237882"/>
    <w:rsid w:val="00243FAA"/>
    <w:rsid w:val="00255D05"/>
    <w:rsid w:val="0027272A"/>
    <w:rsid w:val="002812FF"/>
    <w:rsid w:val="002867BE"/>
    <w:rsid w:val="002934ED"/>
    <w:rsid w:val="002A77DA"/>
    <w:rsid w:val="002C7987"/>
    <w:rsid w:val="002D6B5F"/>
    <w:rsid w:val="002E7C50"/>
    <w:rsid w:val="00302D98"/>
    <w:rsid w:val="00302FE7"/>
    <w:rsid w:val="00315405"/>
    <w:rsid w:val="00322F3E"/>
    <w:rsid w:val="00326AFD"/>
    <w:rsid w:val="00331C5E"/>
    <w:rsid w:val="00342E39"/>
    <w:rsid w:val="003705AA"/>
    <w:rsid w:val="00381F41"/>
    <w:rsid w:val="003864E8"/>
    <w:rsid w:val="00416073"/>
    <w:rsid w:val="00436231"/>
    <w:rsid w:val="00445E70"/>
    <w:rsid w:val="0045373E"/>
    <w:rsid w:val="00470292"/>
    <w:rsid w:val="004872C0"/>
    <w:rsid w:val="004906FF"/>
    <w:rsid w:val="00497FBD"/>
    <w:rsid w:val="004A394D"/>
    <w:rsid w:val="004B3554"/>
    <w:rsid w:val="004B4A45"/>
    <w:rsid w:val="004B6A16"/>
    <w:rsid w:val="004C1303"/>
    <w:rsid w:val="004D692B"/>
    <w:rsid w:val="004E2F90"/>
    <w:rsid w:val="005067E2"/>
    <w:rsid w:val="005279F0"/>
    <w:rsid w:val="0053559C"/>
    <w:rsid w:val="005501B0"/>
    <w:rsid w:val="005513E7"/>
    <w:rsid w:val="005528A9"/>
    <w:rsid w:val="0058658E"/>
    <w:rsid w:val="005A3752"/>
    <w:rsid w:val="005B6509"/>
    <w:rsid w:val="005E1E78"/>
    <w:rsid w:val="005E7669"/>
    <w:rsid w:val="005F184A"/>
    <w:rsid w:val="005F5A31"/>
    <w:rsid w:val="0062413C"/>
    <w:rsid w:val="0063650B"/>
    <w:rsid w:val="00644D4D"/>
    <w:rsid w:val="006704B4"/>
    <w:rsid w:val="00670CEB"/>
    <w:rsid w:val="0068027D"/>
    <w:rsid w:val="006A35B9"/>
    <w:rsid w:val="006A482F"/>
    <w:rsid w:val="006A61A1"/>
    <w:rsid w:val="006A6F2E"/>
    <w:rsid w:val="006B3733"/>
    <w:rsid w:val="006C18D2"/>
    <w:rsid w:val="006C5038"/>
    <w:rsid w:val="007027F6"/>
    <w:rsid w:val="00716A4C"/>
    <w:rsid w:val="0073487C"/>
    <w:rsid w:val="00736DEC"/>
    <w:rsid w:val="00750391"/>
    <w:rsid w:val="00753C2D"/>
    <w:rsid w:val="007650E2"/>
    <w:rsid w:val="007A3852"/>
    <w:rsid w:val="007A77E2"/>
    <w:rsid w:val="007A7D67"/>
    <w:rsid w:val="007B2975"/>
    <w:rsid w:val="007B4DC9"/>
    <w:rsid w:val="007C58AE"/>
    <w:rsid w:val="007E3ACD"/>
    <w:rsid w:val="007E5B99"/>
    <w:rsid w:val="008004CC"/>
    <w:rsid w:val="008259C7"/>
    <w:rsid w:val="00835B23"/>
    <w:rsid w:val="00856994"/>
    <w:rsid w:val="00856D66"/>
    <w:rsid w:val="008576AB"/>
    <w:rsid w:val="00865D06"/>
    <w:rsid w:val="00867C67"/>
    <w:rsid w:val="00874181"/>
    <w:rsid w:val="00892A4D"/>
    <w:rsid w:val="008940FB"/>
    <w:rsid w:val="00896177"/>
    <w:rsid w:val="008B3BB7"/>
    <w:rsid w:val="008B5C34"/>
    <w:rsid w:val="008C291B"/>
    <w:rsid w:val="008D414D"/>
    <w:rsid w:val="008D43EB"/>
    <w:rsid w:val="008D7E53"/>
    <w:rsid w:val="008F241D"/>
    <w:rsid w:val="00901E94"/>
    <w:rsid w:val="00902EE5"/>
    <w:rsid w:val="0090468C"/>
    <w:rsid w:val="009132E5"/>
    <w:rsid w:val="00923AB7"/>
    <w:rsid w:val="009507B7"/>
    <w:rsid w:val="0095131C"/>
    <w:rsid w:val="009520C0"/>
    <w:rsid w:val="00960DC2"/>
    <w:rsid w:val="00963146"/>
    <w:rsid w:val="0098677E"/>
    <w:rsid w:val="009B0A7F"/>
    <w:rsid w:val="009B6649"/>
    <w:rsid w:val="009C5138"/>
    <w:rsid w:val="009E6C6A"/>
    <w:rsid w:val="009F0C65"/>
    <w:rsid w:val="00A04504"/>
    <w:rsid w:val="00A07463"/>
    <w:rsid w:val="00A15772"/>
    <w:rsid w:val="00A42685"/>
    <w:rsid w:val="00A47221"/>
    <w:rsid w:val="00A478B3"/>
    <w:rsid w:val="00A61FE4"/>
    <w:rsid w:val="00A62927"/>
    <w:rsid w:val="00A65925"/>
    <w:rsid w:val="00A71229"/>
    <w:rsid w:val="00A81FE4"/>
    <w:rsid w:val="00A96E6D"/>
    <w:rsid w:val="00AC5523"/>
    <w:rsid w:val="00AC6A2C"/>
    <w:rsid w:val="00AD2944"/>
    <w:rsid w:val="00AF10CE"/>
    <w:rsid w:val="00B42E12"/>
    <w:rsid w:val="00B52997"/>
    <w:rsid w:val="00B61FF3"/>
    <w:rsid w:val="00B623E7"/>
    <w:rsid w:val="00B66C63"/>
    <w:rsid w:val="00B7203D"/>
    <w:rsid w:val="00B82352"/>
    <w:rsid w:val="00B94257"/>
    <w:rsid w:val="00C153F3"/>
    <w:rsid w:val="00C3560F"/>
    <w:rsid w:val="00C37155"/>
    <w:rsid w:val="00C40604"/>
    <w:rsid w:val="00C40B19"/>
    <w:rsid w:val="00C53AFA"/>
    <w:rsid w:val="00C55BA6"/>
    <w:rsid w:val="00C668FB"/>
    <w:rsid w:val="00C67F66"/>
    <w:rsid w:val="00C7197D"/>
    <w:rsid w:val="00C82A14"/>
    <w:rsid w:val="00C83094"/>
    <w:rsid w:val="00CA5439"/>
    <w:rsid w:val="00CD35FA"/>
    <w:rsid w:val="00CE2307"/>
    <w:rsid w:val="00CF1B05"/>
    <w:rsid w:val="00D00F74"/>
    <w:rsid w:val="00D0284B"/>
    <w:rsid w:val="00D0342F"/>
    <w:rsid w:val="00D05B30"/>
    <w:rsid w:val="00D11739"/>
    <w:rsid w:val="00D15D9F"/>
    <w:rsid w:val="00D247A0"/>
    <w:rsid w:val="00D43B93"/>
    <w:rsid w:val="00D453C7"/>
    <w:rsid w:val="00D6321F"/>
    <w:rsid w:val="00D71613"/>
    <w:rsid w:val="00D82346"/>
    <w:rsid w:val="00D83374"/>
    <w:rsid w:val="00D9575F"/>
    <w:rsid w:val="00DA063C"/>
    <w:rsid w:val="00DA094D"/>
    <w:rsid w:val="00E23BC7"/>
    <w:rsid w:val="00E26F14"/>
    <w:rsid w:val="00E33378"/>
    <w:rsid w:val="00E36DE3"/>
    <w:rsid w:val="00E474BA"/>
    <w:rsid w:val="00E71750"/>
    <w:rsid w:val="00E73667"/>
    <w:rsid w:val="00E73970"/>
    <w:rsid w:val="00E80365"/>
    <w:rsid w:val="00E8323E"/>
    <w:rsid w:val="00EA317E"/>
    <w:rsid w:val="00EA5554"/>
    <w:rsid w:val="00EC749F"/>
    <w:rsid w:val="00F0556F"/>
    <w:rsid w:val="00F14FA7"/>
    <w:rsid w:val="00F5361D"/>
    <w:rsid w:val="00F71D2C"/>
    <w:rsid w:val="00F821A2"/>
    <w:rsid w:val="00F915CC"/>
    <w:rsid w:val="00F923BF"/>
    <w:rsid w:val="00FA3B12"/>
    <w:rsid w:val="00FA7A8E"/>
    <w:rsid w:val="00FB0577"/>
    <w:rsid w:val="00FC5A12"/>
    <w:rsid w:val="00FF4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098C122"/>
  <w15:chartTrackingRefBased/>
  <w15:docId w15:val="{EC079AE8-AE2C-D248-A9F5-88E0E2727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A3752"/>
  </w:style>
  <w:style w:type="paragraph" w:styleId="Heading1">
    <w:name w:val="heading 1"/>
    <w:basedOn w:val="Normal"/>
    <w:next w:val="Normal"/>
    <w:link w:val="Heading1Char"/>
    <w:uiPriority w:val="9"/>
    <w:qFormat/>
    <w:rsid w:val="00322F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2F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2F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F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F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F3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F3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F3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F3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0B4069"/>
    <w:pPr>
      <w:numPr>
        <w:numId w:val="1"/>
      </w:numPr>
    </w:pPr>
  </w:style>
  <w:style w:type="character" w:customStyle="1" w:styleId="Heading1Char">
    <w:name w:val="Heading 1 Char"/>
    <w:basedOn w:val="DefaultParagraphFont"/>
    <w:link w:val="Heading1"/>
    <w:uiPriority w:val="9"/>
    <w:rsid w:val="00322F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2F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2F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F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F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F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F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F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F3E"/>
    <w:rPr>
      <w:rFonts w:eastAsiaTheme="majorEastAsia" w:cstheme="majorBidi"/>
      <w:color w:val="272727" w:themeColor="text1" w:themeTint="D8"/>
    </w:rPr>
  </w:style>
  <w:style w:type="paragraph" w:styleId="Title">
    <w:name w:val="Title"/>
    <w:basedOn w:val="Normal"/>
    <w:next w:val="Normal"/>
    <w:link w:val="TitleChar"/>
    <w:uiPriority w:val="10"/>
    <w:qFormat/>
    <w:rsid w:val="00322F3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F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F3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F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F3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2F3E"/>
    <w:rPr>
      <w:i/>
      <w:iCs/>
      <w:color w:val="404040" w:themeColor="text1" w:themeTint="BF"/>
    </w:rPr>
  </w:style>
  <w:style w:type="paragraph" w:styleId="ListParagraph">
    <w:name w:val="List Paragraph"/>
    <w:basedOn w:val="Normal"/>
    <w:uiPriority w:val="34"/>
    <w:qFormat/>
    <w:rsid w:val="00322F3E"/>
    <w:pPr>
      <w:ind w:left="720"/>
      <w:contextualSpacing/>
    </w:pPr>
  </w:style>
  <w:style w:type="character" w:styleId="IntenseEmphasis">
    <w:name w:val="Intense Emphasis"/>
    <w:basedOn w:val="DefaultParagraphFont"/>
    <w:uiPriority w:val="21"/>
    <w:qFormat/>
    <w:rsid w:val="00322F3E"/>
    <w:rPr>
      <w:i/>
      <w:iCs/>
      <w:color w:val="0F4761" w:themeColor="accent1" w:themeShade="BF"/>
    </w:rPr>
  </w:style>
  <w:style w:type="paragraph" w:styleId="IntenseQuote">
    <w:name w:val="Intense Quote"/>
    <w:basedOn w:val="Normal"/>
    <w:next w:val="Normal"/>
    <w:link w:val="IntenseQuoteChar"/>
    <w:uiPriority w:val="30"/>
    <w:qFormat/>
    <w:rsid w:val="00322F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F3E"/>
    <w:rPr>
      <w:i/>
      <w:iCs/>
      <w:color w:val="0F4761" w:themeColor="accent1" w:themeShade="BF"/>
    </w:rPr>
  </w:style>
  <w:style w:type="character" w:styleId="IntenseReference">
    <w:name w:val="Intense Reference"/>
    <w:basedOn w:val="DefaultParagraphFont"/>
    <w:uiPriority w:val="32"/>
    <w:qFormat/>
    <w:rsid w:val="00322F3E"/>
    <w:rPr>
      <w:b/>
      <w:bCs/>
      <w:smallCaps/>
      <w:color w:val="0F4761" w:themeColor="accent1" w:themeShade="BF"/>
      <w:spacing w:val="5"/>
    </w:rPr>
  </w:style>
  <w:style w:type="character" w:styleId="CommentReference">
    <w:name w:val="annotation reference"/>
    <w:basedOn w:val="DefaultParagraphFont"/>
    <w:uiPriority w:val="99"/>
    <w:semiHidden/>
    <w:unhideWhenUsed/>
    <w:rsid w:val="00F14FA7"/>
    <w:rPr>
      <w:sz w:val="16"/>
      <w:szCs w:val="16"/>
    </w:rPr>
  </w:style>
  <w:style w:type="paragraph" w:styleId="CommentText">
    <w:name w:val="annotation text"/>
    <w:basedOn w:val="Normal"/>
    <w:link w:val="CommentTextChar"/>
    <w:uiPriority w:val="99"/>
    <w:unhideWhenUsed/>
    <w:rsid w:val="00F14FA7"/>
    <w:rPr>
      <w:sz w:val="20"/>
      <w:szCs w:val="20"/>
    </w:rPr>
  </w:style>
  <w:style w:type="character" w:customStyle="1" w:styleId="CommentTextChar">
    <w:name w:val="Comment Text Char"/>
    <w:basedOn w:val="DefaultParagraphFont"/>
    <w:link w:val="CommentText"/>
    <w:uiPriority w:val="99"/>
    <w:rsid w:val="00F14FA7"/>
    <w:rPr>
      <w:sz w:val="20"/>
      <w:szCs w:val="20"/>
    </w:rPr>
  </w:style>
  <w:style w:type="paragraph" w:styleId="CommentSubject">
    <w:name w:val="annotation subject"/>
    <w:basedOn w:val="CommentText"/>
    <w:next w:val="CommentText"/>
    <w:link w:val="CommentSubjectChar"/>
    <w:uiPriority w:val="99"/>
    <w:semiHidden/>
    <w:unhideWhenUsed/>
    <w:rsid w:val="00E474BA"/>
    <w:rPr>
      <w:b/>
      <w:bCs/>
    </w:rPr>
  </w:style>
  <w:style w:type="character" w:customStyle="1" w:styleId="CommentSubjectChar">
    <w:name w:val="Comment Subject Char"/>
    <w:basedOn w:val="CommentTextChar"/>
    <w:link w:val="CommentSubject"/>
    <w:uiPriority w:val="99"/>
    <w:semiHidden/>
    <w:rsid w:val="00E474BA"/>
    <w:rPr>
      <w:b/>
      <w:bCs/>
      <w:sz w:val="20"/>
      <w:szCs w:val="20"/>
    </w:rPr>
  </w:style>
  <w:style w:type="paragraph" w:styleId="Bibliography">
    <w:name w:val="Bibliography"/>
    <w:basedOn w:val="Normal"/>
    <w:next w:val="Normal"/>
    <w:uiPriority w:val="37"/>
    <w:unhideWhenUsed/>
    <w:rsid w:val="00315405"/>
    <w:pPr>
      <w:tabs>
        <w:tab w:val="left" w:pos="260"/>
      </w:tabs>
      <w:spacing w:after="240"/>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0137470">
      <w:bodyDiv w:val="1"/>
      <w:marLeft w:val="0"/>
      <w:marRight w:val="0"/>
      <w:marTop w:val="0"/>
      <w:marBottom w:val="0"/>
      <w:divBdr>
        <w:top w:val="none" w:sz="0" w:space="0" w:color="auto"/>
        <w:left w:val="none" w:sz="0" w:space="0" w:color="auto"/>
        <w:bottom w:val="none" w:sz="0" w:space="0" w:color="auto"/>
        <w:right w:val="none" w:sz="0" w:space="0" w:color="auto"/>
      </w:divBdr>
    </w:div>
    <w:div w:id="1377193934">
      <w:bodyDiv w:val="1"/>
      <w:marLeft w:val="0"/>
      <w:marRight w:val="0"/>
      <w:marTop w:val="0"/>
      <w:marBottom w:val="0"/>
      <w:divBdr>
        <w:top w:val="none" w:sz="0" w:space="0" w:color="auto"/>
        <w:left w:val="none" w:sz="0" w:space="0" w:color="auto"/>
        <w:bottom w:val="none" w:sz="0" w:space="0" w:color="auto"/>
        <w:right w:val="none" w:sz="0" w:space="0" w:color="auto"/>
      </w:divBdr>
    </w:div>
    <w:div w:id="1532301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image" Target="media/image2.emf"/><Relationship Id="rId4" Type="http://schemas.openxmlformats.org/officeDocument/2006/relationships/webSettings" Target="webSetting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1334</TotalTime>
  <Pages>5</Pages>
  <Words>5823</Words>
  <Characters>33195</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Anderson-Bell</dc:creator>
  <cp:keywords/>
  <dc:description/>
  <cp:lastModifiedBy>Brian Locke</cp:lastModifiedBy>
  <cp:revision>179</cp:revision>
  <dcterms:created xsi:type="dcterms:W3CDTF">2025-08-18T22:00:00Z</dcterms:created>
  <dcterms:modified xsi:type="dcterms:W3CDTF">2025-12-21T20:53:00Z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id="AfmRMNvt"/&gt;&lt;style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