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3A" w:val="clear"/>
            <w:tcMar>
              <w:top w:type="dxa" w:w="80"/>
              <w:left w:type="dxa" w:w="100"/>
              <w:bottom w:type="dxa" w:w="80"/>
              <w:right w:type="dxa" w:w="100"/>
            </w:tcMar>
            <w:vAlign w:val="center"/>
          </w:tcPr>
          <w:p>
            <w:pPr>
              <w:spacing w:before="60" w:after="100"/>
              <w:jc w:val="center"/>
            </w:pPr>
            <w:r>
              <w:rPr>
                <w:rFonts w:ascii="Arial" w:cs="Arial" w:eastAsia="Arial" w:hAnsi="Arial"/>
                <w:b/>
                <w:bCs/>
                <w:i w:val="false"/>
                <w:iCs w:val="false"/>
                <w:color w:val="FFFFFF"/>
                <w:sz w:val="48"/>
                <w:szCs w:val="48"/>
              </w:rPr>
              <w:t xml:space="preserve">re:Bloom Digital Curriculum</w:t>
            </w:r>
          </w:p>
          <w:p>
            <w:pPr>
              <w:spacing w:before="60" w:after="80"/>
              <w:jc w:val="center"/>
            </w:pPr>
            <w:r>
              <w:rPr>
                <w:rFonts w:ascii="Arial" w:cs="Arial" w:eastAsia="Arial" w:hAnsi="Arial"/>
                <w:b/>
                <w:bCs/>
                <w:i w:val="false"/>
                <w:iCs w:val="false"/>
                <w:color w:val="B8943A"/>
                <w:sz w:val="36"/>
                <w:szCs w:val="36"/>
              </w:rPr>
              <w:t xml:space="preserve">Differentiation and Support Guide</w:t>
            </w:r>
          </w:p>
          <w:p>
            <w:pPr>
              <w:spacing w:before="60" w:after="80"/>
              <w:jc w:val="center"/>
            </w:pPr>
            <w:r>
              <w:rPr>
                <w:rFonts w:ascii="Arial" w:cs="Arial" w:eastAsia="Arial" w:hAnsi="Arial"/>
                <w:b w:val="false"/>
                <w:bCs w:val="false"/>
                <w:i w:val="false"/>
                <w:iCs w:val="false"/>
                <w:color w:val="C0DCDC"/>
                <w:sz w:val="20"/>
                <w:szCs w:val="20"/>
              </w:rPr>
              <w:t xml:space="preserve">Skill Progressions  |  Developmental Continuum  |  Differentiation Strategies  |  Intervention Framework</w:t>
            </w:r>
          </w:p>
          <w:p>
            <w:pPr>
              <w:spacing w:before="60" w:after="80"/>
              <w:jc w:val="center"/>
            </w:pPr>
            <w:r>
              <w:rPr>
                <w:rFonts w:ascii="Arial" w:cs="Arial" w:eastAsia="Arial" w:hAnsi="Arial"/>
                <w:b w:val="false"/>
                <w:bCs w:val="false"/>
                <w:i/>
                <w:iCs/>
                <w:color w:val="C0DCDC"/>
                <w:sz w:val="20"/>
                <w:szCs w:val="20"/>
              </w:rPr>
              <w:t xml:space="preserve">Preschool (Ages 3-5) and Infant and Toddler (Birth-36 Months)</w:t>
            </w:r>
          </w:p>
        </w:tc>
      </w:tr>
    </w:tbl>
    <w:p>
      <w:r>
        <w:br w:type="page"/>
      </w:r>
    </w:p>
    <w:p>
      <w:pPr>
        <w:pStyle w:val="Heading1"/>
      </w:pPr>
      <w:r>
        <w:t xml:space="preserve">How to Use This Guide</w:t>
      </w:r>
    </w:p>
    <w:p>
      <w:pPr>
        <w:spacing w:before="60" w:after="80"/>
        <w:jc w:val="left"/>
      </w:pPr>
      <w:r>
        <w:rPr>
          <w:rFonts w:ascii="Arial" w:cs="Arial" w:eastAsia="Arial" w:hAnsi="Arial"/>
          <w:b w:val="false"/>
          <w:bCs w:val="false"/>
          <w:i w:val="false"/>
          <w:iCs w:val="false"/>
          <w:color w:val="000000"/>
          <w:sz w:val="22"/>
          <w:szCs w:val="22"/>
        </w:rPr>
        <w:t xml:space="preserve">This guide serves four interconnected purposes. First, it presents developmental skill progressions for each of the nine re:Bloom domains, showing how development unfolds from birth through 60 months as a continuous arc rather than a series of age-specific checklists. Second, it provides a developmental continuum reference organized by age band, so educators can quickly locate where a given child currently is and what comes next. Third, it provides differentiation strategies for each domain: what to do for children who are significantly ahead of the group, and what to do for children who need additional support. Fourth, it provides a tiered intervention framework and a referral decision guide for children who may need evaluation or specialized services.</w:t>
      </w:r>
    </w:p>
    <w:p>
      <w:pPr>
        <w:spacing w:before="60" w:after="80"/>
        <w:jc w:val="left"/>
      </w:pPr>
      <w:r>
        <w:rPr>
          <w:rFonts w:ascii="Arial" w:cs="Arial" w:eastAsia="Arial" w:hAnsi="Arial"/>
          <w:b w:val="false"/>
          <w:bCs w:val="false"/>
          <w:i w:val="false"/>
          <w:iCs w:val="false"/>
          <w:color w:val="000000"/>
          <w:sz w:val="22"/>
          <w:szCs w:val="22"/>
        </w:rPr>
        <w:t xml:space="preserve">This guide is designed to be used alongside the re:Bloom Scope and Sequence, the Assessment Tool, and the Expert Implementation Guide. The developmental continuum in this guide and the indicators in the Scope and Sequence documents are directly connected: each continuum band corresponds to the indicators you will find in the relevant age-band column of the Scope and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A6B6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560"/>
            <w:tcBorders>
              <w:top w:val="none" w:color="FFFFFF" w:sz="0"/>
              <w:left w:val="none" w:color="FFFFFF" w:sz="0"/>
              <w:bottom w:val="none" w:color="FFFFFF" w:sz="0"/>
              <w:right w:val="none" w:color="FFFFFF" w:sz="0"/>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All developmental timelines are based on research norms, not rigid benchmarks. Individual variation is wide and expected. The ranges given represent the typical window in which a skill emerges. A child who is outside the typical window is not automatically in need of intervention; they are a child who warrants closer observation and, depending on the degree and pattern of difference, possible consultation.</w:t>
            </w:r>
          </w:p>
        </w:tc>
      </w:tr>
    </w:tbl>
    <w:p>
      <w:r>
        <w:br w:type="page"/>
      </w:r>
    </w:p>
    <w:p>
      <w:pPr>
        <w:pStyle w:val="Heading1"/>
      </w:pPr>
      <w:r>
        <w:t xml:space="preserve">Section 1: Developmental Skill Progressions</w:t>
      </w:r>
    </w:p>
    <w:p>
      <w:pPr>
        <w:spacing w:before="60" w:after="80"/>
        <w:jc w:val="left"/>
      </w:pPr>
      <w:r>
        <w:rPr>
          <w:rFonts w:ascii="Arial" w:cs="Arial" w:eastAsia="Arial" w:hAnsi="Arial"/>
          <w:b w:val="false"/>
          <w:bCs w:val="false"/>
          <w:i w:val="false"/>
          <w:iCs w:val="false"/>
          <w:color w:val="000000"/>
          <w:sz w:val="22"/>
          <w:szCs w:val="22"/>
        </w:rPr>
        <w:t xml:space="preserve">The following tables present skill progressions for all nine developmental domains, from birth through 60 months. Each row represents an approximate age band. The Preschool column describes what is typically observed in children ages three and older. The Infant and Toddler column describes what is typically observed from birth through 36 months. These progressions are continuous: a child at 40 months who is working on skills described in the 24-36 month band is working at the right level for them, regardless of their chronological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RESEARCH</w:t>
            </w:r>
          </w:p>
        </w:tc>
        <w:tc>
          <w:tcPr>
            <w:tcW w:type="dxa" w:w="8560"/>
            <w:tcBorders>
              <w:top w:val="none" w:color="FFFFFF" w:sz="0"/>
              <w:left w:val="none" w:color="FFFFFF" w:sz="0"/>
              <w:bottom w:val="none" w:color="FFFFFF" w:sz="0"/>
              <w:right w:val="none" w:color="FFFFFF" w:sz="0"/>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Developmental progressions are not pass-fail checklists. They are maps. A child who is at the 18-month level at chronological age 30 months needs instruction calibrated to the 18-month level, not to what other 30-month-old children can do. This is the foundation of developmentally responsive practice.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1E8449"/>
          <w:sz w:val="23"/>
          <w:szCs w:val="23"/>
        </w:rPr>
        <w:t xml:space="preserve">LL : Language and Literacy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1E8449" w:sz="6"/>
              <w:left w:val="single" w:color="1E8449" w:sz="6"/>
              <w:bottom w:val="single" w:color="1E8449" w:sz="6"/>
              <w:right w:val="single" w:color="1E8449" w:sz="6"/>
            </w:tcBorders>
            <w:shd w:fill="1E844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1E8449" w:sz="6"/>
              <w:left w:val="single" w:color="1E8449" w:sz="6"/>
              <w:bottom w:val="single" w:color="1E8449" w:sz="6"/>
              <w:right w:val="single" w:color="1E8449" w:sz="6"/>
            </w:tcBorders>
            <w:shd w:fill="1E844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1E8449" w:sz="6"/>
              <w:left w:val="single" w:color="1E8449" w:sz="6"/>
              <w:bottom w:val="single" w:color="1E8449" w:sz="6"/>
              <w:right w:val="single" w:color="1E8449" w:sz="6"/>
            </w:tcBorders>
            <w:shd w:fill="1E844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Birth-6 mo</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Coos and vocalizes responsively; responds to own name; attends to faces and voices; varied vowel sounds; calms to familiar voice.</w:t>
            </w:r>
          </w:p>
        </w:tc>
      </w:tr>
      <w:tr>
        <w:tc>
          <w:tcPr>
            <w:tcW w:type="dxa" w:w="12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6-12 mo</w:t>
            </w:r>
          </w:p>
        </w:tc>
        <w:tc>
          <w:tcPr>
            <w:tcW w:type="dxa" w:w="408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Canonical babbling begins (ba-ba, ma-ma); uses gestures (reach, point); responds to simple words; first word approximations emerging; joint attention with caregiver.</w:t>
            </w:r>
          </w:p>
        </w:tc>
      </w:tr>
      <w:tr>
        <w:tc>
          <w:tcPr>
            <w:tcW w:type="dxa" w:w="12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12-18 mo</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First 10-20 meaningful words; points to named pictures; two-word combinations beginning; follows two-step familiar directions; understands 50+ words.</w:t>
            </w:r>
          </w:p>
        </w:tc>
      </w:tr>
      <w:tr>
        <w:tc>
          <w:tcPr>
            <w:tcW w:type="dxa" w:w="12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18-24 mo</w:t>
            </w:r>
          </w:p>
        </w:tc>
        <w:tc>
          <w:tcPr>
            <w:tcW w:type="dxa" w:w="408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50+ expressive words; two-word combinations ('more milk,' 'daddy go'); rapid vocabulary growth; rhyme and song participation; understands most simple sentences.</w:t>
            </w:r>
          </w:p>
        </w:tc>
      </w:tr>
      <w:tr>
        <w:tc>
          <w:tcPr>
            <w:tcW w:type="dxa" w:w="12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24-36 mo</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Three-word sentences; 200+ word vocabulary; asks simple questions; syllable awareness through song; fills in rhyming words in familiar books; recognizes own name in print.</w:t>
            </w:r>
          </w:p>
        </w:tc>
      </w:tr>
      <w:tr>
        <w:tc>
          <w:tcPr>
            <w:tcW w:type="dxa" w:w="12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36-48 mo</w:t>
            </w:r>
          </w:p>
        </w:tc>
        <w:tc>
          <w:tcPr>
            <w:tcW w:type="dxa" w:w="408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Uses sentences of four to six words; vocabulary of 1,000+ words; tells simple stories; identifies initial sounds; claps syllables; enjoys rhyming; recognizes several letters; begins writing name.</w:t>
            </w:r>
          </w:p>
        </w:tc>
        <w:tc>
          <w:tcPr>
            <w:tcW w:type="dxa" w:w="408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 see preschool column.</w:t>
            </w:r>
          </w:p>
        </w:tc>
      </w:tr>
      <w:tr>
        <w:tc>
          <w:tcPr>
            <w:tcW w:type="dxa" w:w="12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48-60 mo</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Retells stories with beginning-middle-end; blends onset and rime; isolates initial and final phonemes; recognizes most letters; writes name and several letters; engages in Dialogic Reading with comprehension.</w:t>
            </w:r>
          </w:p>
        </w:tc>
        <w:tc>
          <w:tcPr>
            <w:tcW w:type="dxa" w:w="408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7D3C98"/>
          <w:sz w:val="23"/>
          <w:szCs w:val="23"/>
        </w:rPr>
        <w:t xml:space="preserve">MA :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7D3C98" w:sz="6"/>
              <w:left w:val="single" w:color="7D3C98" w:sz="6"/>
              <w:bottom w:val="single" w:color="7D3C98" w:sz="6"/>
              <w:right w:val="single" w:color="7D3C98" w:sz="6"/>
            </w:tcBorders>
            <w:shd w:fill="7D3C98"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7D3C98" w:sz="6"/>
              <w:left w:val="single" w:color="7D3C98" w:sz="6"/>
              <w:bottom w:val="single" w:color="7D3C98" w:sz="6"/>
              <w:right w:val="single" w:color="7D3C98" w:sz="6"/>
            </w:tcBorders>
            <w:shd w:fill="7D3C98"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7D3C98" w:sz="6"/>
              <w:left w:val="single" w:color="7D3C98" w:sz="6"/>
              <w:bottom w:val="single" w:color="7D3C98" w:sz="6"/>
              <w:right w:val="single" w:color="7D3C98" w:sz="6"/>
            </w:tcBorders>
            <w:shd w:fill="7D3C98"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Birth-6 mo</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Attends visually to small sets; shows surprise when quantity changes unexpectedly; responds to rhythmic counting patterns.</w:t>
            </w:r>
          </w:p>
        </w:tc>
      </w:tr>
      <w:tr>
        <w:tc>
          <w:tcPr>
            <w:tcW w:type="dxa" w:w="120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6-12 mo</w:t>
            </w:r>
          </w:p>
        </w:tc>
        <w:tc>
          <w:tcPr>
            <w:tcW w:type="dxa" w:w="408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Distinguishes one from many; explores objects with varied size and weight; nests and stacks with support; fills and dumps containers.</w:t>
            </w:r>
          </w:p>
        </w:tc>
      </w:tr>
      <w:tr>
        <w:tc>
          <w:tcPr>
            <w:tcW w:type="dxa" w:w="120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12-18 mo</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Points to objects while making counting sounds; understands 'more'; fills containers repeatedly; matches identical objects.</w:t>
            </w:r>
          </w:p>
        </w:tc>
      </w:tr>
      <w:tr>
        <w:tc>
          <w:tcPr>
            <w:tcW w:type="dxa" w:w="120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18-24 mo</w:t>
            </w:r>
          </w:p>
        </w:tc>
        <w:tc>
          <w:tcPr>
            <w:tcW w:type="dxa" w:w="408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Counts one or two objects with correspondence; uses big/little; sorts by single obvious attribute; recognizes circle and ball as same shape.</w:t>
            </w:r>
          </w:p>
        </w:tc>
      </w:tr>
      <w:tr>
        <w:tc>
          <w:tcPr>
            <w:tcW w:type="dxa" w:w="120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24-36 mo</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Counts three to five objects with one-to-one correspondence; subitizes one and two; sorts by color or size; AB pattern recognition with support; names circle, square, triangle.</w:t>
            </w:r>
          </w:p>
        </w:tc>
      </w:tr>
      <w:tr>
        <w:tc>
          <w:tcPr>
            <w:tcW w:type="dxa" w:w="120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36-48 mo</w:t>
            </w:r>
          </w:p>
        </w:tc>
        <w:tc>
          <w:tcPr>
            <w:tcW w:type="dxa" w:w="408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Counts to 10 with correspondence; understands cardinality to 5; subitizes to 3; sorts by two attributes; creates AB and ABC patterns; names basic shapes in varied orientations; uses measuring tools with support.</w:t>
            </w:r>
          </w:p>
        </w:tc>
        <w:tc>
          <w:tcPr>
            <w:tcW w:type="dxa" w:w="4080"/>
            <w:tcBorders>
              <w:top w:val="single" w:color="7D3C98" w:sz="4"/>
              <w:left w:val="single" w:color="7D3C98" w:sz="4"/>
              <w:bottom w:val="single" w:color="7D3C98" w:sz="4"/>
              <w:right w:val="single" w:color="7D3C98" w:sz="4"/>
            </w:tcBorders>
            <w:shd w:fill="F4ECF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7D3C98"/>
                <w:sz w:val="19"/>
                <w:szCs w:val="19"/>
              </w:rPr>
              <w:t xml:space="preserve">48-60 mo</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Counts and produces sets to 20; compares quantities using more, less, equal; adds and subtracts within 5 with objects; creates and extends complex patterns; uses non-standard measurement; identifies attributes of two-dimensional shapes.</w:t>
            </w:r>
          </w:p>
        </w:tc>
        <w:tc>
          <w:tcPr>
            <w:tcW w:type="dxa" w:w="4080"/>
            <w:tcBorders>
              <w:top w:val="single" w:color="7D3C98" w:sz="4"/>
              <w:left w:val="single" w:color="7D3C98" w:sz="4"/>
              <w:bottom w:val="single" w:color="7D3C98" w:sz="4"/>
              <w:right w:val="single" w:color="7D3C9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CA6F1E"/>
          <w:sz w:val="23"/>
          <w:szCs w:val="23"/>
        </w:rPr>
        <w:t xml:space="preserve">SE : Social-Emotional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A6F1E" w:sz="6"/>
              <w:left w:val="single" w:color="CA6F1E" w:sz="6"/>
              <w:bottom w:val="single" w:color="CA6F1E" w:sz="6"/>
              <w:right w:val="single" w:color="CA6F1E" w:sz="6"/>
            </w:tcBorders>
            <w:shd w:fill="CA6F1E"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CA6F1E" w:sz="6"/>
              <w:left w:val="single" w:color="CA6F1E" w:sz="6"/>
              <w:bottom w:val="single" w:color="CA6F1E" w:sz="6"/>
              <w:right w:val="single" w:color="CA6F1E" w:sz="6"/>
            </w:tcBorders>
            <w:shd w:fill="CA6F1E"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CA6F1E" w:sz="6"/>
              <w:left w:val="single" w:color="CA6F1E" w:sz="6"/>
              <w:bottom w:val="single" w:color="CA6F1E" w:sz="6"/>
              <w:right w:val="single" w:color="CA6F1E" w:sz="6"/>
            </w:tcBorders>
            <w:shd w:fill="CA6F1E"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Birth-6 mo</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Differentiates primary caregiver from others; social smile present by six weeks; mirrors facial expressions; calms to caregiver voice; beginning emotional differentiation (happy, distressed).</w:t>
            </w:r>
          </w:p>
        </w:tc>
      </w:tr>
      <w:tr>
        <w:tc>
          <w:tcPr>
            <w:tcW w:type="dxa" w:w="12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6-12 mo</w:t>
            </w:r>
          </w:p>
        </w:tc>
        <w:tc>
          <w:tcPr>
            <w:tcW w:type="dxa" w:w="408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Clear attachment behaviors: protests separation, uses caregiver as secure base; stranger wariness; reads caregiver emotional signals (social referencing); expresses range of emotions.</w:t>
            </w:r>
          </w:p>
        </w:tc>
      </w:tr>
      <w:tr>
        <w:tc>
          <w:tcPr>
            <w:tcW w:type="dxa" w:w="12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12-18 mo</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Strong attachment to primary caregiver; uses comfort object; shows empathy responses (concern when peer cries); beginning self-recognition in mirror; names self.</w:t>
            </w:r>
          </w:p>
        </w:tc>
      </w:tr>
      <w:tr>
        <w:tc>
          <w:tcPr>
            <w:tcW w:type="dxa" w:w="12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18-24 mo</w:t>
            </w:r>
          </w:p>
        </w:tc>
        <w:tc>
          <w:tcPr>
            <w:tcW w:type="dxa" w:w="408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Increasing autonomy alongside need for secure base; names two to three feeling words; parallel play with awareness of peers; beginning frustration management with adult support.</w:t>
            </w:r>
          </w:p>
        </w:tc>
      </w:tr>
      <w:tr>
        <w:tc>
          <w:tcPr>
            <w:tcW w:type="dxa" w:w="12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24-36 mo</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Names five or more feelings; uses simple regulation strategies with coaching; initiates peer interaction; handles brief separations with preparation; shows care for others.</w:t>
            </w:r>
          </w:p>
        </w:tc>
      </w:tr>
      <w:tr>
        <w:tc>
          <w:tcPr>
            <w:tcW w:type="dxa" w:w="12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36-48 mo</w:t>
            </w:r>
          </w:p>
        </w:tc>
        <w:tc>
          <w:tcPr>
            <w:tcW w:type="dxa" w:w="408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Identifies feelings in self and others; uses comfort corner independently some of the time; negotiates peer conflicts with adult support; developing empathy; strong identity including family and cultural identity.</w:t>
            </w:r>
          </w:p>
        </w:tc>
        <w:tc>
          <w:tcPr>
            <w:tcW w:type="dxa" w:w="408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48-60 mo</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Self-regulates with decreasing adult support; uses problem-solving language in peer conflicts; demonstrates sustained empathy; manages frustration to complete tasks; positive peer relationships with one or more friends.</w:t>
            </w:r>
          </w:p>
        </w:tc>
        <w:tc>
          <w:tcPr>
            <w:tcW w:type="dxa" w:w="408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1A5276"/>
          <w:sz w:val="23"/>
          <w:szCs w:val="23"/>
        </w:rPr>
        <w:t xml:space="preserve">CO : Cognitive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1A5276" w:sz="6"/>
              <w:left w:val="single" w:color="1A5276" w:sz="6"/>
              <w:bottom w:val="single" w:color="1A5276" w:sz="6"/>
              <w:right w:val="single" w:color="1A5276" w:sz="6"/>
            </w:tcBorders>
            <w:shd w:fill="1A5276"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1A5276" w:sz="6"/>
              <w:left w:val="single" w:color="1A5276" w:sz="6"/>
              <w:bottom w:val="single" w:color="1A5276" w:sz="6"/>
              <w:right w:val="single" w:color="1A5276" w:sz="6"/>
            </w:tcBorders>
            <w:shd w:fill="1A5276"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1A5276" w:sz="6"/>
              <w:left w:val="single" w:color="1A5276" w:sz="6"/>
              <w:bottom w:val="single" w:color="1A5276" w:sz="6"/>
              <w:right w:val="single" w:color="1A5276" w:sz="6"/>
            </w:tcBorders>
            <w:shd w:fill="1A5276"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Birth-6 mo</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Repeats actions that produce interesting effects (circular reactions); anticipates feeding routine; attends to and tracks faces and objects; imitates simple facial expressions.</w:t>
            </w:r>
          </w:p>
        </w:tc>
      </w:tr>
      <w:tr>
        <w:tc>
          <w:tcPr>
            <w:tcW w:type="dxa" w:w="120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6-12 mo</w:t>
            </w:r>
          </w:p>
        </w:tc>
        <w:tc>
          <w:tcPr>
            <w:tcW w:type="dxa" w:w="408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Object permanence emerging (searches for hidden object); deferred imitation begins; uses caregiver as tool to achieve goals; problem-solves by trying different approaches.</w:t>
            </w:r>
          </w:p>
        </w:tc>
      </w:tr>
      <w:tr>
        <w:tc>
          <w:tcPr>
            <w:tcW w:type="dxa" w:w="12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12-18 mo</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Full object permanence; uses objects functionally; deferred imitation across a delay; simple symbolic play (holds phone to ear); beginning cause-and-effect understanding.</w:t>
            </w:r>
          </w:p>
        </w:tc>
      </w:tr>
      <w:tr>
        <w:tc>
          <w:tcPr>
            <w:tcW w:type="dxa" w:w="120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18-24 mo</w:t>
            </w:r>
          </w:p>
        </w:tc>
        <w:tc>
          <w:tcPr>
            <w:tcW w:type="dxa" w:w="408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Symbolic substitution in play (block becomes car); mental representation of absent objects; two-step problem-solving; beginning to follow two-step directions.</w:t>
            </w:r>
          </w:p>
        </w:tc>
      </w:tr>
      <w:tr>
        <w:tc>
          <w:tcPr>
            <w:tcW w:type="dxa" w:w="12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24-36 mo</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Two- to three-step pretend play sequences; categorizes by one attribute; recalls and retells recent events; beginning flexibility when routines change with preparation.</w:t>
            </w:r>
          </w:p>
        </w:tc>
      </w:tr>
      <w:tr>
        <w:tc>
          <w:tcPr>
            <w:tcW w:type="dxa" w:w="120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36-48 mo</w:t>
            </w:r>
          </w:p>
        </w:tc>
        <w:tc>
          <w:tcPr>
            <w:tcW w:type="dxa" w:w="408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Symbolic thinking well-established; sorts by two attributes; explains simple causal relationships; shows beginning cognitive flexibility; holds two rules in mind (game rules); beginning perspective-taking.</w:t>
            </w:r>
          </w:p>
        </w:tc>
        <w:tc>
          <w:tcPr>
            <w:tcW w:type="dxa" w:w="408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48-60 mo</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Uses mental strategies to solve problems; demonstrates cognitive flexibility in changing rules; understands that others have different beliefs; uses classification hierarchies; plans multi-step activities.</w:t>
            </w:r>
          </w:p>
        </w:tc>
        <w:tc>
          <w:tcPr>
            <w:tcW w:type="dxa" w:w="408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2980B9"/>
          <w:sz w:val="23"/>
          <w:szCs w:val="23"/>
        </w:rPr>
        <w:t xml:space="preserve">AL : Approaches to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2980B9" w:sz="6"/>
              <w:left w:val="single" w:color="2980B9" w:sz="6"/>
              <w:bottom w:val="single" w:color="2980B9" w:sz="6"/>
              <w:right w:val="single" w:color="2980B9" w:sz="6"/>
            </w:tcBorders>
            <w:shd w:fill="2980B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2980B9" w:sz="6"/>
              <w:left w:val="single" w:color="2980B9" w:sz="6"/>
              <w:bottom w:val="single" w:color="2980B9" w:sz="6"/>
              <w:right w:val="single" w:color="2980B9" w:sz="6"/>
            </w:tcBorders>
            <w:shd w:fill="2980B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2980B9" w:sz="6"/>
              <w:left w:val="single" w:color="2980B9" w:sz="6"/>
              <w:bottom w:val="single" w:color="2980B9" w:sz="6"/>
              <w:right w:val="single" w:color="2980B9" w:sz="6"/>
            </w:tcBorders>
            <w:shd w:fill="2980B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Birth-6 mo</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Gazes at novel objects; shows clear preferences; repeats actions that produce interesting results; sustains attention on preferred stimuli for brief periods.</w:t>
            </w:r>
          </w:p>
        </w:tc>
      </w:tr>
      <w:tr>
        <w:tc>
          <w:tcPr>
            <w:tcW w:type="dxa" w:w="120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6-12 mo</w:t>
            </w:r>
          </w:p>
        </w:tc>
        <w:tc>
          <w:tcPr>
            <w:tcW w:type="dxa" w:w="408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Explores objects with multiple senses; persists with challenging reach or grasp; shows visible interest in new materials; imitates new actions within a session.</w:t>
            </w:r>
          </w:p>
        </w:tc>
      </w:tr>
      <w:tr>
        <w:tc>
          <w:tcPr>
            <w:tcW w:type="dxa" w:w="120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12-18 mo</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Approaches novel objects with curiosity when caregiver present; attempts new activities after brief hesitation; repeats successful actions; shows satisfaction when goal is reached.</w:t>
            </w:r>
          </w:p>
        </w:tc>
      </w:tr>
      <w:tr>
        <w:tc>
          <w:tcPr>
            <w:tcW w:type="dxa" w:w="120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18-24 mo</w:t>
            </w:r>
          </w:p>
        </w:tc>
        <w:tc>
          <w:tcPr>
            <w:tcW w:type="dxa" w:w="408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Initiates exploration of new materials independently when environment is safe; tries again after failure with verbal encouragement; sustains attention for five or more minutes on preferred activity.</w:t>
            </w:r>
          </w:p>
        </w:tc>
      </w:tr>
      <w:tr>
        <w:tc>
          <w:tcPr>
            <w:tcW w:type="dxa" w:w="120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24-36 mo</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Approaches new experiences with confidence in familiar settings; persists through mild frustration; seeks help as a strategy; shows pride in accomplishment.</w:t>
            </w:r>
          </w:p>
        </w:tc>
      </w:tr>
      <w:tr>
        <w:tc>
          <w:tcPr>
            <w:tcW w:type="dxa" w:w="120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36-48 mo</w:t>
            </w:r>
          </w:p>
        </w:tc>
        <w:tc>
          <w:tcPr>
            <w:tcW w:type="dxa" w:w="408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Takes initiative in self-chosen activities; sustains focus for ten or more minutes; returns to unfinished work; tries multiple strategies before seeking help; uses effort language ('I am going to try again').</w:t>
            </w:r>
          </w:p>
        </w:tc>
        <w:tc>
          <w:tcPr>
            <w:tcW w:type="dxa" w:w="4080"/>
            <w:tcBorders>
              <w:top w:val="single" w:color="2980B9" w:sz="4"/>
              <w:left w:val="single" w:color="2980B9" w:sz="4"/>
              <w:bottom w:val="single" w:color="2980B9" w:sz="4"/>
              <w:right w:val="single" w:color="2980B9" w:sz="4"/>
            </w:tcBorders>
            <w:shd w:fill="E8F4FD"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48-60 mo</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Engages in sustained, complex, self-initiated inquiry; plans and monitors own work; demonstrates growth mindset language; accepts challenge as opportunity; shows metacognitive awareness ('I learn better when...').</w:t>
            </w:r>
          </w:p>
        </w:tc>
        <w:tc>
          <w:tcPr>
            <w:tcW w:type="dxa" w:w="408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C0392B"/>
          <w:sz w:val="23"/>
          <w:szCs w:val="23"/>
        </w:rPr>
        <w:t xml:space="preserve">PW : Physical Development and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0392B" w:sz="6"/>
              <w:left w:val="single" w:color="C0392B" w:sz="6"/>
              <w:bottom w:val="single" w:color="C0392B" w:sz="6"/>
              <w:right w:val="single" w:color="C0392B" w:sz="6"/>
            </w:tcBorders>
            <w:shd w:fill="C0392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C0392B" w:sz="6"/>
              <w:left w:val="single" w:color="C0392B" w:sz="6"/>
              <w:bottom w:val="single" w:color="C0392B" w:sz="6"/>
              <w:right w:val="single" w:color="C0392B" w:sz="6"/>
            </w:tcBorders>
            <w:shd w:fill="C0392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C0392B" w:sz="6"/>
              <w:left w:val="single" w:color="C0392B" w:sz="6"/>
              <w:bottom w:val="single" w:color="C0392B" w:sz="6"/>
              <w:right w:val="single" w:color="C0392B" w:sz="6"/>
            </w:tcBorders>
            <w:shd w:fill="C0392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Birth-6 mo</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Head control developing; rolls back to side; reaches with increasing accuracy; palmar grasp; tracks objects visually; tummy time tolerance increasing.</w:t>
            </w:r>
          </w:p>
        </w:tc>
      </w:tr>
      <w:tr>
        <w:tc>
          <w:tcPr>
            <w:tcW w:type="dxa" w:w="12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6-12 mo</w:t>
            </w:r>
          </w:p>
        </w:tc>
        <w:tc>
          <w:tcPr>
            <w:tcW w:type="dxa" w:w="408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Rolls both directions; sits independently; pulls to stand; pincer grasp emerging; bangs objects together; transfers objects between hands; first cruising steps.</w:t>
            </w:r>
          </w:p>
        </w:tc>
      </w:tr>
      <w:tr>
        <w:tc>
          <w:tcPr>
            <w:tcW w:type="dxa" w:w="12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12-18 mo</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Walks independently; climbs low structures; throws with whole arm; turns pages in board books; uses spoon with spilling; stacks two to four blocks.</w:t>
            </w:r>
          </w:p>
        </w:tc>
      </w:tr>
      <w:tr>
        <w:tc>
          <w:tcPr>
            <w:tcW w:type="dxa" w:w="12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18-24 mo</w:t>
            </w:r>
          </w:p>
        </w:tc>
        <w:tc>
          <w:tcPr>
            <w:tcW w:type="dxa" w:w="408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Runs with coordination; walks up stairs with support; kicks stationary ball; uses utensils most of the time; turns pages singly; scribbles with intention.</w:t>
            </w:r>
          </w:p>
        </w:tc>
      </w:tr>
      <w:tr>
        <w:tc>
          <w:tcPr>
            <w:tcW w:type="dxa" w:w="12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24-36 mo</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Jumps with two feet; pedals a tricycle with support; catches large ball; strings large beads; snips with scissors; draws vertical lines and circular shapes.</w:t>
            </w:r>
          </w:p>
        </w:tc>
      </w:tr>
      <w:tr>
        <w:tc>
          <w:tcPr>
            <w:tcW w:type="dxa" w:w="12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36-48 mo</w:t>
            </w:r>
          </w:p>
        </w:tc>
        <w:tc>
          <w:tcPr>
            <w:tcW w:type="dxa" w:w="408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Hops on one foot; skips with assistance; climbs with confidence; uses scissors to cut on a line; draws recognizable figures; holds crayon or pencil with digital pronate or tripod grip.</w:t>
            </w:r>
          </w:p>
        </w:tc>
        <w:tc>
          <w:tcPr>
            <w:tcW w:type="dxa" w:w="408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48-60 mo</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Skips independently; balances on one foot for five or more seconds; catches with forearms; writes name and several letters; cuts simple shapes; shows clear hand dominance.</w:t>
            </w:r>
          </w:p>
        </w:tc>
        <w:tc>
          <w:tcPr>
            <w:tcW w:type="dxa" w:w="408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148F77"/>
          <w:sz w:val="23"/>
          <w:szCs w:val="23"/>
        </w:rPr>
        <w:t xml:space="preserve">SC :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148F77" w:sz="6"/>
              <w:left w:val="single" w:color="148F77" w:sz="6"/>
              <w:bottom w:val="single" w:color="148F77" w:sz="6"/>
              <w:right w:val="single" w:color="148F77" w:sz="6"/>
            </w:tcBorders>
            <w:shd w:fill="148F7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148F77" w:sz="6"/>
              <w:left w:val="single" w:color="148F77" w:sz="6"/>
              <w:bottom w:val="single" w:color="148F77" w:sz="6"/>
              <w:right w:val="single" w:color="148F77" w:sz="6"/>
            </w:tcBorders>
            <w:shd w:fill="148F7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148F77" w:sz="6"/>
              <w:left w:val="single" w:color="148F77" w:sz="6"/>
              <w:bottom w:val="single" w:color="148F77" w:sz="6"/>
              <w:right w:val="single" w:color="148F77" w:sz="6"/>
            </w:tcBorders>
            <w:shd w:fill="148F7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Birth-6 mo</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Repeats actions to produce effects (cause-and-effect exploration); attends to novel visual, auditory, and tactile stimuli; responds with surprise when expected outcome does not occur.</w:t>
            </w:r>
          </w:p>
        </w:tc>
      </w:tr>
      <w:tr>
        <w:tc>
          <w:tcPr>
            <w:tcW w:type="dxa" w:w="120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6-12 mo</w:t>
            </w:r>
          </w:p>
        </w:tc>
        <w:tc>
          <w:tcPr>
            <w:tcW w:type="dxa" w:w="408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Systematic sensory exploration: mouths, bangs, shakes, drops; compares objects; explores spatial relationships (in, out, over, under); investigates effects of own actions.</w:t>
            </w:r>
          </w:p>
        </w:tc>
      </w:tr>
      <w:tr>
        <w:tc>
          <w:tcPr>
            <w:tcW w:type="dxa" w:w="120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12-18 mo</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Uses multiple senses to investigate new materials; repeats experiments; shows surprise at unexpected outcomes; explores natural materials with interest.</w:t>
            </w:r>
          </w:p>
        </w:tc>
      </w:tr>
      <w:tr>
        <w:tc>
          <w:tcPr>
            <w:tcW w:type="dxa" w:w="120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18-24 mo</w:t>
            </w:r>
          </w:p>
        </w:tc>
        <w:tc>
          <w:tcPr>
            <w:tcW w:type="dxa" w:w="408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Describes simple cause-and-effect with adult language support; asks 'What's that?'; compares objects descriptively; uses investigative tools (magnifying glass) with support.</w:t>
            </w:r>
          </w:p>
        </w:tc>
      </w:tr>
      <w:tr>
        <w:tc>
          <w:tcPr>
            <w:tcW w:type="dxa" w:w="120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24-36 mo</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Identifies simple cause-effect: 'It fell because I pushed it'; asks 'Why?'; predicts familiar outcomes; observes and describes natural phenomena with vocabulary.</w:t>
            </w:r>
          </w:p>
        </w:tc>
      </w:tr>
      <w:tr>
        <w:tc>
          <w:tcPr>
            <w:tcW w:type="dxa" w:w="120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36-48 mo</w:t>
            </w:r>
          </w:p>
        </w:tc>
        <w:tc>
          <w:tcPr>
            <w:tcW w:type="dxa" w:w="408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Forms simple hypotheses; tests ideas through action; notices patterns across observations; uses cause-effect language independently; asks investigable questions; records observations through drawing.</w:t>
            </w:r>
          </w:p>
        </w:tc>
        <w:tc>
          <w:tcPr>
            <w:tcW w:type="dxa" w:w="4080"/>
            <w:tcBorders>
              <w:top w:val="single" w:color="148F77" w:sz="4"/>
              <w:left w:val="single" w:color="148F77" w:sz="4"/>
              <w:bottom w:val="single" w:color="148F77" w:sz="4"/>
              <w:right w:val="single" w:color="148F77" w:sz="4"/>
            </w:tcBorders>
            <w:shd w:fill="E8F8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48F77"/>
                <w:sz w:val="19"/>
                <w:szCs w:val="19"/>
              </w:rPr>
              <w:t xml:space="preserve">48-60 mo</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Plans and conducts simple investigations; compares results to prediction; revises thinking based on evidence; generates follow-up questions; communicates findings to others; connects observations to concepts.</w:t>
            </w:r>
          </w:p>
        </w:tc>
        <w:tc>
          <w:tcPr>
            <w:tcW w:type="dxa" w:w="40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B7950B"/>
          <w:sz w:val="23"/>
          <w:szCs w:val="23"/>
        </w:rPr>
        <w:t xml:space="preserve">CR : Creative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7950B" w:sz="6"/>
              <w:left w:val="single" w:color="B7950B" w:sz="6"/>
              <w:bottom w:val="single" w:color="B7950B" w:sz="6"/>
              <w:right w:val="single" w:color="B7950B" w:sz="6"/>
            </w:tcBorders>
            <w:shd w:fill="B7950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B7950B" w:sz="6"/>
              <w:left w:val="single" w:color="B7950B" w:sz="6"/>
              <w:bottom w:val="single" w:color="B7950B" w:sz="6"/>
              <w:right w:val="single" w:color="B7950B" w:sz="6"/>
            </w:tcBorders>
            <w:shd w:fill="B7950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B7950B" w:sz="6"/>
              <w:left w:val="single" w:color="B7950B" w:sz="6"/>
              <w:bottom w:val="single" w:color="B7950B" w:sz="6"/>
              <w:right w:val="single" w:color="B7950B" w:sz="6"/>
            </w:tcBorders>
            <w:shd w:fill="B7950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Birth-6 mo</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Responds to music with whole-body movement; attends to high-contrast patterns and colors; vocalizes in varied pitches; imitates facial expressions.</w:t>
            </w:r>
          </w:p>
        </w:tc>
      </w:tr>
      <w:tr>
        <w:tc>
          <w:tcPr>
            <w:tcW w:type="dxa" w:w="120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6-12 mo</w:t>
            </w:r>
          </w:p>
        </w:tc>
        <w:tc>
          <w:tcPr>
            <w:tcW w:type="dxa" w:w="408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Bangs objects rhythmically; vocalizes along with songs; explores materials with hands and mouth; responds to caregiver's playful voice and expression.</w:t>
            </w:r>
          </w:p>
        </w:tc>
      </w:tr>
      <w:tr>
        <w:tc>
          <w:tcPr>
            <w:tcW w:type="dxa" w:w="120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12-18 mo</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Makes intentional marks with a held crayon; moves to a musical beat; imitates familiar actions in play (stirs, rocks doll); explores art materials through whole-arm movement.</w:t>
            </w:r>
          </w:p>
        </w:tc>
      </w:tr>
      <w:tr>
        <w:tc>
          <w:tcPr>
            <w:tcW w:type="dxa" w:w="120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18-24 mo</w:t>
            </w:r>
          </w:p>
        </w:tc>
        <w:tc>
          <w:tcPr>
            <w:tcW w:type="dxa" w:w="408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Sings along with familiar songs (fills in words); engages in two- to three-step pretend sequences; makes circular and vertical marks; shows color preference in art materials.</w:t>
            </w:r>
          </w:p>
        </w:tc>
      </w:tr>
      <w:tr>
        <w:tc>
          <w:tcPr>
            <w:tcW w:type="dxa" w:w="120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24-36 mo</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Creates simple pretend narratives; sings full songs independently; uses one object to represent another in play; makes recognizable circular and linear shapes; chooses art materials with intention.</w:t>
            </w:r>
          </w:p>
        </w:tc>
      </w:tr>
      <w:tr>
        <w:tc>
          <w:tcPr>
            <w:tcW w:type="dxa" w:w="120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36-48 mo</w:t>
            </w:r>
          </w:p>
        </w:tc>
        <w:tc>
          <w:tcPr>
            <w:tcW w:type="dxa" w:w="408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Engages in extended dramatic play with a narrative arc; draws simple recognizable figures; creates and sings original songs; uses varied media with intention; describes creative work with specificity.</w:t>
            </w:r>
          </w:p>
        </w:tc>
        <w:tc>
          <w:tcPr>
            <w:tcW w:type="dxa" w:w="4080"/>
            <w:tcBorders>
              <w:top w:val="single" w:color="B7950B" w:sz="4"/>
              <w:left w:val="single" w:color="B7950B" w:sz="4"/>
              <w:bottom w:val="single" w:color="B7950B" w:sz="4"/>
              <w:right w:val="single" w:color="B7950B" w:sz="4"/>
            </w:tcBorders>
            <w:shd w:fill="FEF9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B7950B"/>
                <w:sz w:val="19"/>
                <w:szCs w:val="19"/>
              </w:rPr>
              <w:t xml:space="preserve">48-60 mo</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Sustains complex dramatic play across multiple days; creates detailed drawings with labeled elements; composes music or lyrics; uses art to express specific ideas or feelings; shows aesthetic preferences and opinions.</w:t>
            </w:r>
          </w:p>
        </w:tc>
        <w:tc>
          <w:tcPr>
            <w:tcW w:type="dxa" w:w="4080"/>
            <w:tcBorders>
              <w:top w:val="single" w:color="B7950B" w:sz="4"/>
              <w:left w:val="single" w:color="B7950B" w:sz="4"/>
              <w:bottom w:val="single" w:color="B7950B" w:sz="4"/>
              <w:right w:val="single" w:color="B7950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616A6B"/>
          <w:sz w:val="23"/>
          <w:szCs w:val="23"/>
        </w:rPr>
        <w:t xml:space="preserve">SS : Social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616A6B" w:sz="6"/>
              <w:left w:val="single" w:color="616A6B" w:sz="6"/>
              <w:bottom w:val="single" w:color="616A6B" w:sz="6"/>
              <w:right w:val="single" w:color="616A6B" w:sz="6"/>
            </w:tcBorders>
            <w:shd w:fill="616A6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 Band</w:t>
            </w:r>
          </w:p>
        </w:tc>
        <w:tc>
          <w:tcPr>
            <w:tcW w:type="dxa" w:w="4080"/>
            <w:tcBorders>
              <w:top w:val="single" w:color="616A6B" w:sz="6"/>
              <w:left w:val="single" w:color="616A6B" w:sz="6"/>
              <w:bottom w:val="single" w:color="616A6B" w:sz="6"/>
              <w:right w:val="single" w:color="616A6B" w:sz="6"/>
            </w:tcBorders>
            <w:shd w:fill="616A6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Track (Ages 3-5)</w:t>
            </w:r>
          </w:p>
        </w:tc>
        <w:tc>
          <w:tcPr>
            <w:tcW w:type="dxa" w:w="4080"/>
            <w:tcBorders>
              <w:top w:val="single" w:color="616A6B" w:sz="6"/>
              <w:left w:val="single" w:color="616A6B" w:sz="6"/>
              <w:bottom w:val="single" w:color="616A6B" w:sz="6"/>
              <w:right w:val="single" w:color="616A6B" w:sz="6"/>
            </w:tcBorders>
            <w:shd w:fill="616A6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 and Toddler Track (Birth-36 Months)</w:t>
            </w:r>
          </w:p>
        </w:tc>
      </w:tr>
      <w:tr>
        <w:tc>
          <w:tcPr>
            <w:tcW w:type="dxa" w:w="120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Birth-6 mo</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Recognizes primary caregiver; responds differentially to family members; attends to cultural music and language; calms to familiar home sounds and smells.</w:t>
            </w:r>
          </w:p>
        </w:tc>
      </w:tr>
      <w:tr>
        <w:tc>
          <w:tcPr>
            <w:tcW w:type="dxa" w:w="120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6-12 mo</w:t>
            </w:r>
          </w:p>
        </w:tc>
        <w:tc>
          <w:tcPr>
            <w:tcW w:type="dxa" w:w="408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Shows clear recognition of family members in photographs; responds to own name and family names; shows cultural food preference; explores objects from home environment.</w:t>
            </w:r>
          </w:p>
        </w:tc>
      </w:tr>
      <w:tr>
        <w:tc>
          <w:tcPr>
            <w:tcW w:type="dxa" w:w="120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12-18 mo</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Names family members; recognizes self in photograph; shows awareness of classroom routines and expectations; responds to simple rules with adult reminders.</w:t>
            </w:r>
          </w:p>
        </w:tc>
      </w:tr>
      <w:tr>
        <w:tc>
          <w:tcPr>
            <w:tcW w:type="dxa" w:w="120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18-24 mo</w:t>
            </w:r>
          </w:p>
        </w:tc>
        <w:tc>
          <w:tcPr>
            <w:tcW w:type="dxa" w:w="408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Refers to self and family members by name; identifies basic community helpers when shown; participates in cleanup routines with adult involvement; shows pride in home culture objects.</w:t>
            </w:r>
          </w:p>
        </w:tc>
      </w:tr>
      <w:tr>
        <w:tc>
          <w:tcPr>
            <w:tcW w:type="dxa" w:w="120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24-36 mo</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Not applicable for this age band.</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Describes basic family roles; identifies two or three community helpers and their roles; follows classroom rules most of the time; shows care for shared materials with reminders.</w:t>
            </w:r>
          </w:p>
        </w:tc>
      </w:tr>
      <w:tr>
        <w:tc>
          <w:tcPr>
            <w:tcW w:type="dxa" w:w="120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36-48 mo</w:t>
            </w:r>
          </w:p>
        </w:tc>
        <w:tc>
          <w:tcPr>
            <w:tcW w:type="dxa" w:w="408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Names and describes diverse family structures; identifies community helpers and what they do; participates in community care routines; uses language of rights and responsibilities; shows beginning civic thinking.</w:t>
            </w:r>
          </w:p>
        </w:tc>
        <w:tc>
          <w:tcPr>
            <w:tcW w:type="dxa" w:w="4080"/>
            <w:tcBorders>
              <w:top w:val="single" w:color="616A6B" w:sz="4"/>
              <w:left w:val="single" w:color="616A6B" w:sz="4"/>
              <w:bottom w:val="single" w:color="616A6B" w:sz="4"/>
              <w:right w:val="single" w:color="616A6B" w:sz="4"/>
            </w:tcBorders>
            <w:shd w:fill="F2F3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Transitioning to preschool track.</w:t>
            </w:r>
          </w:p>
        </w:tc>
      </w:tr>
      <w:tr>
        <w:tc>
          <w:tcPr>
            <w:tcW w:type="dxa" w:w="120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616A6B"/>
                <w:sz w:val="19"/>
                <w:szCs w:val="19"/>
              </w:rPr>
              <w:t xml:space="preserve">48-60 mo</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Understands interdependence in community roles; maps familiar environment; connects rules to community wellbeing; shows stewardship behaviors independently; celebrates diverse cultures with respect and curiosity.</w:t>
            </w:r>
          </w:p>
        </w:tc>
        <w:tc>
          <w:tcPr>
            <w:tcW w:type="dxa" w:w="4080"/>
            <w:tcBorders>
              <w:top w:val="single" w:color="616A6B" w:sz="4"/>
              <w:left w:val="single" w:color="616A6B" w:sz="4"/>
              <w:bottom w:val="single" w:color="616A6B" w:sz="4"/>
              <w:right w:val="single" w:color="616A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applicable.</w:t>
            </w:r>
          </w:p>
        </w:tc>
      </w:tr>
    </w:tbl>
    <w:p>
      <w:pPr>
        <w:spacing w:before="40" w:after="40"/>
      </w:pPr>
      <w:r>
        <w:rPr>
          <w:rFonts w:ascii="Arial" w:cs="Arial" w:eastAsia="Arial" w:hAnsi="Arial"/>
          <w:b w:val="false"/>
          <w:bCs w:val="false"/>
          <w:i w:val="false"/>
          <w:iCs w:val="false"/>
          <w:color w:val="000000"/>
          <w:sz w:val="22"/>
          <w:szCs w:val="22"/>
        </w:rPr>
        <w:t xml:space="preserve"/>
      </w:r>
    </w:p>
    <w:p>
      <w:r>
        <w:br w:type="page"/>
      </w:r>
    </w:p>
    <w:p>
      <w:pPr>
        <w:pStyle w:val="Heading1"/>
      </w:pPr>
      <w:r>
        <w:t xml:space="preserve">Section 2: Differentiation Strategies by Domain</w:t>
      </w:r>
    </w:p>
    <w:p>
      <w:pPr>
        <w:spacing w:before="60" w:after="80"/>
        <w:jc w:val="left"/>
      </w:pPr>
      <w:r>
        <w:rPr>
          <w:rFonts w:ascii="Arial" w:cs="Arial" w:eastAsia="Arial" w:hAnsi="Arial"/>
          <w:b w:val="false"/>
          <w:bCs w:val="false"/>
          <w:i w:val="false"/>
          <w:iCs w:val="false"/>
          <w:color w:val="000000"/>
          <w:sz w:val="22"/>
          <w:szCs w:val="22"/>
        </w:rPr>
        <w:t xml:space="preserve">Differentiation in re:Bloom does not mean creating separate lesson plans for different children. It means calibrating the environment, the interactions, and the level of challenge to match each child's current zone of proximal development. The same activity can serve children at very different levels when the educator knows how to extend for children who are ready for more, and how to support children who need a different entry point.</w:t>
      </w:r>
    </w:p>
    <w:p>
      <w:pPr>
        <w:spacing w:before="60" w:after="80"/>
        <w:jc w:val="left"/>
      </w:pPr>
      <w:r>
        <w:rPr>
          <w:rFonts w:ascii="Arial" w:cs="Arial" w:eastAsia="Arial" w:hAnsi="Arial"/>
          <w:b w:val="false"/>
          <w:bCs w:val="false"/>
          <w:i w:val="false"/>
          <w:iCs w:val="false"/>
          <w:color w:val="000000"/>
          <w:sz w:val="22"/>
          <w:szCs w:val="22"/>
        </w:rPr>
        <w:t xml:space="preserve">Each domain section below provides three categories of differentiation guidance. The first category addresses children who are significantly ahead of the group in that domain. The second addresses children who need additional support. The third addresses children with IEPs or IFSPs, where re:Bloom implementation intersects with legally mandated specialized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CAUTION</w:t>
            </w:r>
          </w:p>
        </w:tc>
        <w:tc>
          <w:tcPr>
            <w:tcW w:type="dxa" w:w="8560"/>
            <w:tcBorders>
              <w:top w:val="none" w:color="FFFFFF" w:sz="0"/>
              <w:left w:val="none" w:color="FFFFFF" w:sz="0"/>
              <w:bottom w:val="none" w:color="FFFFFF" w:sz="0"/>
              <w:right w:val="none" w:color="FFFFFF" w:sz="0"/>
            </w:tcBorders>
            <w:shd w:fill="FDEA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Differentiation is not the same as lowered expectations. Support strategies are about finding the right entry point for each child, not about excusing them from developmental work. Every child is working toward the same standards; the pathway is differentiated, not the destination.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8"/>
              <w:right w:val="single" w:color="1E8449" w:sz="8"/>
            </w:tcBorders>
            <w:shd w:fill="1E8449"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LL : Language and Literacy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Tier 3 vocabulary from current inquiry theme; children ready for technical scientific or mathematical language can handle it with support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Move to phoneme-level activities: segmenting, blending, and substituting individual phonemes in three- and four-phoneme words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Introduce early decoding: once all letter names are solid and phoneme awareness is strong, systematic letter-sound correspondence is appropriate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dictation to adult and child-authored books; extend writing from name to three-word labels and simple sentences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increasingly complex informational texts in small group; stop for analysis rather than comprehension checks</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Return to oral language first: ensure rich conversational interaction is happening at a ratio of 3 to 4 serve-and-return exchanges per minute before adding any structured LL instruction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phonological awareness: back up to the syllable level; clapping names and simple words builds the foundation that onset-rime and phoneme work require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group size for read-aloud: one-to-one or pairs for dialogic reading with children who are not yet participating in whole-group</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the quantity and density of vocabulary exposure: narrate more during all routines; choose books specifically for vocabulary richness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for hearing concerns: children who are not developing language on trajectory should have a hearing screening before any instructional adjustment</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re:Bloom standard codes to document IEP progress: an IEP goal targeting receptive vocabulary maps directly to LL.1.a and LL.1.b</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speech-language services: coordinate with the SLP on the specific phonological targets; use the same vocabulary in the classroom as in pull-out sessions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AAC users: ensure the device or communication board includes all vocabulary words from the current monthly theme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DLL children should not be referred for evaluation based on English language performance alone; assess in the home language first</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7D3C98" w:sz="8"/>
              <w:bottom w:val="single" w:color="7D3C98" w:sz="8"/>
              <w:right w:val="single" w:color="7D3C98" w:sz="8"/>
            </w:tcBorders>
            <w:shd w:fill="7D3C98"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MA : Mathematics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number lines and frames beyond 10; introduce teen numbers through visual patterns (ten frame + additional)</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addition and subtraction story problems within 10 using manipulatives; do not introduce written equations without extensive concrete experience first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Extend pattern work to growing patterns (1, 2, 3, 4) and identifying the rule; connect to algebraic thinking explicitly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Measurement: introduce standard units (rulers, scales) alongside non-standard; discuss why standard units are useful</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Geometry: challenge with tangrams, geoboards, and shape composition; introduce congruence and symmetry as vocabulary</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Return to concrete objects for all counting work; never work at the symbolic level before the concrete is solid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Focus on one counting principle at a time: stable order first, then one-to-one correspondence, then cardinality. These build sequentially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the number of objects in counting tasks; start with sets of two and three before moving to five and ten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children's names and real classroom objects as counting materials; meaningfulness dramatically improves attention and retention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whether the child understands 'same' and 'different': this is the cognitive prerequisite for sorting, classifying, and patterning</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Math goals in IEPs often target counting, one-to-one correspondence, or shape identification; these map directly to MA.1.a, MA.1.b, and MA.4.a</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fine motor limitations: use large manipulatives, voice-to-number tools, and reduce written recording expectations without reducing mathematical thinking expectations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cognitive disabilities: the concrete-representational-abstract sequence is non-negotiable; do not move to representational or abstract before concrete is solid</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CA6F1E" w:sz="8"/>
              <w:right w:val="single" w:color="CA6F1E" w:sz="8"/>
            </w:tcBorders>
            <w:shd w:fill="CA6F1E"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SE : Social-Emotional Development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leadership roles in peer conflict mediation: more advanced SE children can practice the full conflict resolution protocol as the facilitating peer</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Extend empathy work to characters in books and historical or community figures; perspective-taking from a distance is more cognitively demanding</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Introduce the concept of systemic fairness versus individual fairness; some children are ready to think about community-level equity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peer mentorship opportunities: pair with children who are working on skills the advanced child has consolidated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regulation strategies to the science of the brain: children who are SE-advanced are often ready to understand the prefrontal cortex and amygdala in simple terms</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Co-regulation before self-regulation, always: a child who cannot yet regulate independently needs caregiver nervous system support, not a strategy card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environmental demands during regulated practice: do not ask a child to practice regulation in a state of activation; practice during calm</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caregiver proximity: some children need a smaller physical circle of safety before they can explore social situations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Shorten transitions and increase predictability: dysregulation often peaks during unpredictable moments; more warning, simpler transitions, and consistent sequences reduce activation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Review trauma history with the director: behaviors that look like SE deficits are frequently trauma responses that require a different approach</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SE goals are increasingly common in IEPs and IFSPs, particularly for children with autism spectrum profiles or social communication challenges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re:Bloom SE standards (SE.2.a, SE.3.a, SE.4.b) map directly to IEP goals around self-regulation, social awareness, and peer relationships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autism: explicit instruction in emotion recognition (SE.1.b) and social scripts is appropriate and evidence-based; the mirror games in the Activity Guides are appropriate starting points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Behavioral support plans should be developed in collaboration with a behavioral specialist and should never contradict re:Bloom's trauma-informed approach</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CO : Cognitive Development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open-ended problems with no single solution; children with advanced CO development can handle greater ambiguity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Introduce metacognitive language: 'What strategy did you use? Why did you choose that one? What would you do differently?'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Perspective-taking challenges: 'What does the character in the book think is true? Is it actually true? What does that tell you about beliefs?'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Executive function challenges: games with changing rules, tasks requiring working memory loads of four or more items, multi-step projects planned in advance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symbolic thinking to early literacy: children with strong CO.2.a are typically ready for more systematic alphabetic knowledge work</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the number of variables in problem-solving tasks; present one challenge at a time rather than open-ended multi-step problems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physical manipulation: children who struggle with abstract CO tasks need more concrete sensorimotor experience, not more explanation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consistent language for problem-solving steps; a predictable verbal sequence ('What is the problem? What can I try? What happened? What next?') reduces cognitive load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Extend wait time to ten seconds or more: children with slower cognitive processing benefit significantly from extended wait time before any adult input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for vision or hearing concerns if a child is significantly behind in CO alongside other domains</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 standards connect to IEP goals around cognitive flexibility (CO.4.a), problem-solving (CO.3.a), and symbolic thinking (CO.2.a)</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intellectual disabilities: the developmental continuum applies; identify where the child currently is and plan from there, not from age expectations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Executive function deficits are often the mechanism behind attention, behavior, and learning challenges; environmental structure and predictability are the primary instructional tools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8"/>
              <w:left w:val="single" w:color="2980B9" w:sz="8"/>
              <w:bottom w:val="single" w:color="2980B9" w:sz="8"/>
              <w:right w:val="single" w:color="2980B9" w:sz="8"/>
            </w:tcBorders>
            <w:shd w:fill="2980B9"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AL : Approaches to Learning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genuinely challenging open-ended investigations: children with strong AL need harder problems, not more of the same problems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growth mindset language explicitly and name it: children who naturally persist can learn to identify this quality in themselves and teach it to peers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metacognitive prompts: 'How did you decide to try that? What is your plan for the next attempt?'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AL-advanced children benefit from peer collaboration with other children who sustain focus; mixed-ability groups can inadvertently frustrate both ends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Protect extended project time: some children will sustain a single investigation across a week or more; protect rather than interrupt this</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Make success accessible immediately: a child with avoidance behaviors needs early, concrete wins before they will engage with challenge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the open-endedness of tasks; too many choices is paralyzing for children with low AL confidence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interest as the entry point: motivation to approach and persist follows intrinsic interest; identify each child's genuine fascination and build from there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for anxiety: avoidance of new experiences is a common anxiety presentation in preschoolers; consult with the director or a mental health consultant if the pattern is pervasive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Build caregiver-child relationship before demanding AL performance: a child who does not trust their caregiver will not take the risks that learning requires</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AL approaches are less commonly the target of IEP goals but are frequently implicated in the behaviors that trigger IEP referrals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Children with ADHD profiles often show strong AL curiosity and interest with low persistence; this is a neurological pattern, not a character problem</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Occupational therapy consultation is appropriate when AL difficulties co-occur with sensory processing or fine motor challenges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C0392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PW : Physical Development and Wellness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the complexity and risk level of physical challenges: confident movers need real physical challenge, not just practice of consolidated skills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fine motor challenges that approach writing readiness: detailed drawing, cutting complex shapes, building with small materials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physical skill to physical science: children ready to understand force, momentum, and balance as concepts alongside physical experience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Introduce cooperative physical games that require coordination with a partner or group</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body awareness and interoception activities: advanced PW children are ready to identify physical sensations and connect them to emotion states</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time in tummy time positions for children with core strength delays; consult with an OT if tummy time tolerance has not improved after consistent practice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Provide adapted tools: left-handed scissors, weighted pencils, pencil grips, or large-grip crayons for children with fine motor delays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the complexity of multi-step gross motor sequences; break locomotor skills into single components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Consult with an occupational or physical therapist for any child who is six or more months behind motor milestones; do not wait for it to self-resolve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for vision concerns: motor coordination difficulties sometimes have a visual processing component that is separate from the motor system</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Physical therapy and occupational therapy are among the most common IFSP and IEP services for children under five; coordinate re:Bloom PW activities with the child's PT and OT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Children with physical disabilities have the right to full participation in physical experiences through individualized modifications and adaptive equipment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Gross motor goals in IFSPs commonly target milestones in PW.1.a; document progress using the re:Bloom standard code and the specific indicators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Fine motor goals target PW.1.b; note that functional skills (self-feeding, dressing, writing) are assessed under PW.2.b; distinguish between the two in documentation</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8"/>
              <w:left w:val="single" w:color="148F77" w:sz="8"/>
              <w:bottom w:val="single" w:color="148F77" w:sz="8"/>
              <w:right w:val="single" w:color="148F77" w:sz="8"/>
            </w:tcBorders>
            <w:shd w:fill="148F77"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SC : Science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the complexity of investigations: multiple variables, longer observation periods, structured data recording</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Introduce the concept of a controlled experiment: what stays the same? what changes? how does that help us understand the results?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more advanced informational texts and scientific vocabulary; children who are SC-strong can handle technical language when it is contextualized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to mathematics: graphing data, measuring precisely, using numbers to represent scientific findings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Ask more sophisticated questions: 'What would change if...? What would need to be true for...? How could we find out if...?'</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Return to pure sensory exploration: children who are not yet investigating systematically need more time at the sensory and curiosity stage before hypothesis testing</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the inquiry demand: not every experience needs a prediction; sometimes observation is the complete activity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caregiver narration of cause-and-effect during play: 'That happened because you pushed it. The cause was the push; the effect was the movement'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Provide more repetition: children develop scientific habits through repeated experience with the same phenomena, not through exposure to many different phenomena</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that the science provocations are genuinely accessible to the child's current developmental level; developmentally inappropriate tasks look like disinterest</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SC standards are less commonly the direct target of IEP goals, but SC.1.a and SC.1.b connect to IEP goals around curiosity, attention, and cause-and-effect reasoning</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Science investigation is particularly valuable for children with physical disabilities because it is highly adaptable: observation, prediction, and recording can be done in many modalities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sensory processing differences: the sensory exploration component of science may require advance preparation, modified materials, or alternative access points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8"/>
              <w:left w:val="single" w:color="B7950B" w:sz="8"/>
              <w:bottom w:val="single" w:color="B7950B" w:sz="8"/>
              <w:right w:val="single" w:color="B7950B" w:sz="8"/>
            </w:tcBorders>
            <w:shd w:fill="B7950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CR : Creative Development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Provide access to more complex and real materials: professional-grade watercolors, clay with real tools, real instruments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Protect and extend long dramatic play narratives rather than interrupting for transitions; advanced CR children sustain narratives over days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Offer exposure to works by real artists, composers, and storytellers; children with strong CR benefit from knowing they are part of a tradition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creative process to other domains: what if you told your science investigation as a story? What if you made a map as a piece of art?</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Avoid early product evaluation: advanced CR children are especially vulnerable to the shift from intrinsic to extrinsic motivation through praise of specific products</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Reduce the open-endedness of creative prompts for hesitant creators; a clear invitation ('make a house for this animal using these materials') is more accessible than 'make something'</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Build in choice without full open-endedness: 'you can use the paint, the clay, or the collage materials' offers agency without overwhelming</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Address sensory barriers: children who avoid art materials due to texture sensitivity need sensory accommodation, not more art exposure</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dramatic play as the entry point for children who are resistant to structured art: narrative imagination is often more accessible than visual art for some children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Never force a creative product; requiring completion of an art project undermines the intrinsic motivation that creativity depends on</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Art therapy and music therapy are distinct from classroom creative development and should be coordinated rather than conflated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For children with fine motor delays: provide alternative art-making tools (stamps, rollers, sponges) that produce satisfying marks without requiring fine motor control</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Dramatic play is a powerful IEP intervention context for social-communication goals; coordinate with the speech-language pathologist</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16A6B" w:sz="8"/>
              <w:left w:val="single" w:color="616A6B" w:sz="8"/>
              <w:bottom w:val="single" w:color="616A6B" w:sz="8"/>
              <w:right w:val="single" w:color="616A6B" w:sz="8"/>
            </w:tcBorders>
            <w:shd w:fill="616A6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SS : Social Studies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Are Ahead</w:t>
            </w:r>
          </w:p>
        </w:tc>
        <w:tc>
          <w:tcPr>
            <w:tcW w:type="dxa" w:w="312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Who Need Support</w:t>
            </w:r>
          </w:p>
        </w:tc>
        <w:tc>
          <w:tcPr>
            <w:tcW w:type="dxa" w:w="312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For Children with IEPs and IFSPs</w:t>
            </w:r>
          </w:p>
        </w:tc>
      </w:tr>
      <w:tr>
        <w:tc>
          <w:tcPr>
            <w:tcW w:type="dxa" w:w="312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Extend community study to larger scale: from classroom to school to neighborhood to city to region</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Introduce the concept of historical change: how was our community different a long time ago? What changed? Why?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civic thinking to action: what is one thing we can actually do to take care of our community?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Discuss fairness at the systemic level: why do some communities have more resources than others? What is fair?</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Connect cultural celebration to cultural practice: invite families to share not just food and holidays but values, stories, and ways of knowing</w:t>
            </w:r>
          </w:p>
        </w:tc>
        <w:tc>
          <w:tcPr>
            <w:tcW w:type="dxa" w:w="312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Return to the self and family before expanding to community: children who are not yet solid in SS.1.a need more mirror experiences before window experiences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Use concrete and immediate community connections: what is outside our window? who do we see every day? this building, this block, this neighborhood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Increase family photo and home language presence in the classroom: SS development is directly tied to feeling that one's own family is recognized and valued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Avoid abstract civic concepts (government, laws, countries) until the immediate community is well understood</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Check for family stressors: children who have experienced housing instability, family disruption, or community trauma may have complicated relationships with concepts of community and safety</w:t>
            </w:r>
          </w:p>
        </w:tc>
        <w:tc>
          <w:tcPr>
            <w:tcW w:type="dxa" w:w="3120"/>
            <w:tcBorders>
              <w:top w:val="single" w:color="1A3A3A" w:sz="4"/>
              <w:left w:val="single" w:color="1A3A3A" w:sz="4"/>
              <w:bottom w:val="single" w:color="1A3A3A" w:sz="4"/>
              <w:right w:val="single" w:color="1A3A3A" w:sz="4"/>
            </w:tcBorders>
            <w:shd w:fill="EAF4F4" w:val="clear"/>
            <w:tcMar>
              <w:top w:type="dxa" w:w="80"/>
              <w:left w:type="dxa" w:w="100"/>
              <w:bottom w:type="dxa" w:w="80"/>
              <w:right w:type="dxa" w:w="100"/>
            </w:tcMar>
            <w:vAlign w:val="top"/>
          </w:tcPr>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SS goals are rare in IEPs but community participation and self-advocacy are increasingly recognized as important outcomes for children with disabilities</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Identity and belonging (SS.1.a) are particularly important for children with disabilities who may experience exclusion: intentional inclusion in community activities is both a value and an instructional strategy</w:t>
            </w:r>
          </w:p>
          <w:p>
            <w:pPr>
              <w:pStyle w:val="ListParagraph"/>
              <w:numPr>
                <w:ilvl w:val="0"/>
                <w:numId w:val="2"/>
              </w:numPr>
              <w:spacing w:before="30" w:after="30"/>
            </w:pPr>
            <w:r>
              <w:rPr>
                <w:rFonts w:ascii="Arial" w:cs="Arial" w:eastAsia="Arial" w:hAnsi="Arial"/>
                <w:b w:val="false"/>
                <w:bCs w:val="false"/>
                <w:i w:val="false"/>
                <w:iCs w:val="false"/>
                <w:color w:val="000000"/>
                <w:sz w:val="19"/>
                <w:szCs w:val="19"/>
              </w:rPr>
              <w:t xml:space="preserve">Cultural responsiveness in IEP development is legally required; the re:Bloom SS framework provides language and structure for connecting IEP goals to family and cultural context</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p>
      <w:r>
        <w:br w:type="page"/>
      </w:r>
    </w:p>
    <w:p>
      <w:pPr>
        <w:pStyle w:val="Heading1"/>
      </w:pPr>
      <w:r>
        <w:t xml:space="preserve">Section 3: Tiered Intervention Framework</w:t>
      </w:r>
    </w:p>
    <w:p>
      <w:pPr>
        <w:spacing w:before="60" w:after="80"/>
        <w:jc w:val="left"/>
      </w:pPr>
      <w:r>
        <w:rPr>
          <w:rFonts w:ascii="Arial" w:cs="Arial" w:eastAsia="Arial" w:hAnsi="Arial"/>
          <w:b w:val="false"/>
          <w:bCs w:val="false"/>
          <w:i w:val="false"/>
          <w:iCs w:val="false"/>
          <w:color w:val="000000"/>
          <w:sz w:val="22"/>
          <w:szCs w:val="22"/>
        </w:rPr>
        <w:t xml:space="preserve">Re:Bloom's intervention framework is organized in three tiers, modeled on the Response to Intervention (RTI) and Multi-Tiered Systems of Support (MTSS) frameworks that are widely used in K-12 education and increasingly in early childhood programs. The core principle is that all children receive high-quality universal instruction first, and that additional support is layered on top of, not instead of, the universal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RESEARCH</w:t>
            </w:r>
          </w:p>
        </w:tc>
        <w:tc>
          <w:tcPr>
            <w:tcW w:type="dxa" w:w="8560"/>
            <w:tcBorders>
              <w:top w:val="none" w:color="FFFFFF" w:sz="0"/>
              <w:left w:val="none" w:color="FFFFFF" w:sz="0"/>
              <w:bottom w:val="none" w:color="FFFFFF" w:sz="0"/>
              <w:right w:val="none" w:color="FFFFFF" w:sz="0"/>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The RTI framework in early childhood: research shows that approximately 80 percent of children will make adequate developmental progress with high-quality Tier 1 implementation alone. The remaining 20 percent need targeted Tier 2 supports, and approximately 5 percent need intensive Tier 3 evaluation and services (Buysse and Peisner-Feinberg, 2013). The quality of Tier 1 directly determines how many children need Tier 2 and Tier 3.</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
              <w:jc w:val="center"/>
            </w:pPr>
            <w:r>
              <w:rPr>
                <w:rFonts w:ascii="Arial" w:cs="Arial" w:eastAsia="Arial" w:hAnsi="Arial"/>
                <w:b/>
                <w:bCs/>
                <w:i w:val="false"/>
                <w:iCs w:val="false"/>
                <w:color w:val="FFFFFF"/>
                <w:sz w:val="22"/>
                <w:szCs w:val="22"/>
              </w:rPr>
              <w:t xml:space="preserve">Tier 1</w:t>
            </w:r>
          </w:p>
          <w:p>
            <w:pPr>
              <w:spacing w:before="60" w:after="40"/>
              <w:jc w:val="center"/>
            </w:pPr>
            <w:r>
              <w:rPr>
                <w:rFonts w:ascii="Arial" w:cs="Arial" w:eastAsia="Arial" w:hAnsi="Arial"/>
                <w:b/>
                <w:bCs/>
                <w:i w:val="false"/>
                <w:iCs w:val="false"/>
                <w:color w:val="FFFFFF"/>
                <w:sz w:val="18"/>
                <w:szCs w:val="18"/>
              </w:rPr>
              <w:t xml:space="preserve">Universal Supports</w:t>
            </w:r>
          </w:p>
        </w:tc>
        <w:tc>
          <w:tcPr>
            <w:tcW w:type="dxa" w:w="7360"/>
            <w:tcBorders>
              <w:top w:val="single" w:color="2D6A4F" w:sz="6"/>
              <w:left w:val="single" w:color="2D6A4F" w:sz="6"/>
              <w:bottom w:val="single" w:color="2D6A4F" w:sz="6"/>
              <w:right w:val="single" w:color="2D6A4F" w:sz="6"/>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All children in all settings. These are not interventions; they are the quality floor of re:Bloom implementation. Every child benefits.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Rich, responsive, vocabulary-dense language environment in all nine domains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Intentional daily phonological awareness activities (preschool) or prosodic and rhyme-rich language (infants and toddlers)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Warm, consistent primary caregiver relationships with low turnover</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Predictable routines and schedule with clear transitions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Environment designed to support all nine developmental domains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Daily read-aloud with Dialogic Reading techniques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Observation and documentation at least three times per week per child</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Family communication every day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43A" w:sz="6"/>
              <w:left w:val="single" w:color="B8943A" w:sz="6"/>
              <w:bottom w:val="single" w:color="B8943A" w:sz="6"/>
              <w:right w:val="single" w:color="B8943A" w:sz="6"/>
            </w:tcBorders>
            <w:shd w:fill="B8943A" w:val="clear"/>
            <w:tcMar>
              <w:top w:type="dxa" w:w="80"/>
              <w:left w:type="dxa" w:w="100"/>
              <w:bottom w:type="dxa" w:w="80"/>
              <w:right w:type="dxa" w:w="100"/>
            </w:tcMar>
            <w:vAlign w:val="center"/>
          </w:tcPr>
          <w:p>
            <w:pPr>
              <w:spacing w:before="40" w:after="4"/>
              <w:jc w:val="center"/>
            </w:pPr>
            <w:r>
              <w:rPr>
                <w:rFonts w:ascii="Arial" w:cs="Arial" w:eastAsia="Arial" w:hAnsi="Arial"/>
                <w:b/>
                <w:bCs/>
                <w:i w:val="false"/>
                <w:iCs w:val="false"/>
                <w:color w:val="FFFFFF"/>
                <w:sz w:val="22"/>
                <w:szCs w:val="22"/>
              </w:rPr>
              <w:t xml:space="preserve">Tier 2</w:t>
            </w:r>
          </w:p>
          <w:p>
            <w:pPr>
              <w:spacing w:before="60" w:after="40"/>
              <w:jc w:val="center"/>
            </w:pPr>
            <w:r>
              <w:rPr>
                <w:rFonts w:ascii="Arial" w:cs="Arial" w:eastAsia="Arial" w:hAnsi="Arial"/>
                <w:b/>
                <w:bCs/>
                <w:i w:val="false"/>
                <w:iCs w:val="false"/>
                <w:color w:val="FFFFFF"/>
                <w:sz w:val="18"/>
                <w:szCs w:val="18"/>
              </w:rPr>
              <w:t xml:space="preserve">Targeted Supports</w:t>
            </w:r>
          </w:p>
        </w:tc>
        <w:tc>
          <w:tcPr>
            <w:tcW w:type="dxa" w:w="7360"/>
            <w:tcBorders>
              <w:top w:val="single" w:color="B8943A" w:sz="6"/>
              <w:left w:val="single" w:color="B8943A" w:sz="6"/>
              <w:bottom w:val="single" w:color="B8943A" w:sz="6"/>
              <w:right w:val="single" w:color="B8943A" w:sz="6"/>
            </w:tcBorders>
            <w:shd w:fill="FEF9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Children who are not making expected progress with Tier 1 alone. These children need more intensity, frequency, or specificity. Approximately 15 to 20 percent of children will need Tier 2 at some point.</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Smaller group size for instruction in the area of concern: pairs or triads rather than whole group</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Increased frequency: the skill or strategy is addressed daily rather than several times per week</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More explicit instruction: the adult names, models, and practices the skill rather than embedding it in play alone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Increased adult proximity and support during transitions and unstructured time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Specific family communication about the targeted area with one home strategy per week</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More frequent observation and documentation: daily brief notes rather than weekly</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Consultation with director or educational specialist about next steps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Six-week review: if the child is not responding to Tier 2 supports after six weeks, move to Tier 3 consideration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
              <w:jc w:val="center"/>
            </w:pPr>
            <w:r>
              <w:rPr>
                <w:rFonts w:ascii="Arial" w:cs="Arial" w:eastAsia="Arial" w:hAnsi="Arial"/>
                <w:b/>
                <w:bCs/>
                <w:i w:val="false"/>
                <w:iCs w:val="false"/>
                <w:color w:val="FFFFFF"/>
                <w:sz w:val="22"/>
                <w:szCs w:val="22"/>
              </w:rPr>
              <w:t xml:space="preserve">Tier 3</w:t>
            </w:r>
          </w:p>
          <w:p>
            <w:pPr>
              <w:spacing w:before="60" w:after="40"/>
              <w:jc w:val="center"/>
            </w:pPr>
            <w:r>
              <w:rPr>
                <w:rFonts w:ascii="Arial" w:cs="Arial" w:eastAsia="Arial" w:hAnsi="Arial"/>
                <w:b/>
                <w:bCs/>
                <w:i w:val="false"/>
                <w:iCs w:val="false"/>
                <w:color w:val="FFFFFF"/>
                <w:sz w:val="18"/>
                <w:szCs w:val="18"/>
              </w:rPr>
              <w:t xml:space="preserve">Intensive Supports and Referral</w:t>
            </w:r>
          </w:p>
        </w:tc>
        <w:tc>
          <w:tcPr>
            <w:tcW w:type="dxa" w:w="7360"/>
            <w:tcBorders>
              <w:top w:val="single" w:color="8B2A2A" w:sz="6"/>
              <w:left w:val="single" w:color="8B2A2A" w:sz="6"/>
              <w:bottom w:val="single" w:color="8B2A2A" w:sz="6"/>
              <w:right w:val="single" w:color="8B2A2A" w:sz="6"/>
            </w:tcBorders>
            <w:shd w:fill="FDEA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Children who are not responding to Tier 2 supports, or children who show significant delays across multiple domains. These children need individualized support beyond what general education can provide alone.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Referral for developmental screening using a validated instrument (Ages and Stages Questionnaire, Modified Checklist for Autism in Toddlers, or similar)</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Referral to Early Intervention (IDEA Part C) for children under three with suspected developmental delays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Referral to the local education agency for evaluation under IDEA Part B for children age three and older</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Individualized documentation of current performance on re:Bloom standards to support evaluation</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Family meeting to share concerns, documentation, and referral process with full transparency and cultural responsiveness</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Coordination with any specialists already involved in the child's care</w:t>
            </w:r>
          </w:p>
          <w:p>
            <w:pPr>
              <w:pStyle w:val="ListParagraph"/>
              <w:numPr>
                <w:ilvl w:val="0"/>
                <w:numId w:val="2"/>
              </w:numPr>
              <w:spacing w:before="30" w:after="30"/>
            </w:pPr>
            <w:r>
              <w:rPr>
                <w:rFonts w:ascii="Arial" w:cs="Arial" w:eastAsia="Arial" w:hAnsi="Arial"/>
                <w:b w:val="false"/>
                <w:bCs w:val="false"/>
                <w:i w:val="false"/>
                <w:iCs w:val="false"/>
                <w:color w:val="000000"/>
                <w:sz w:val="20"/>
                <w:szCs w:val="20"/>
              </w:rPr>
              <w:t xml:space="preserve">Continued re:Bloom implementation alongside specialized services: the curriculum is the environment, not a barrier to services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3A" w:sz="8"/>
              <w:left w:val="single" w:color="1A3A3A" w:sz="8"/>
              <w:bottom w:val="single" w:color="1A3A3A" w:sz="8"/>
              <w:right w:val="single" w:color="1A3A3A" w:sz="8"/>
            </w:tcBorders>
            <w:shd w:fill="1A3A3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3"/>
                <w:szCs w:val="23"/>
              </w:rPr>
              <w:t xml:space="preserve">The Child Study Process: What to Do When You Are Concerned</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When a child is not responding to re:Bloom Tier 1 or Tier 2 supports, a structured child study process helps ensure that decisions about referral are made thoughtfully, collaboratively, and with complete documentation. Follow these steps in order:</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Gather documentation: collect at least three weeks of anecdotal observation notes on the child. Organize them by domain code. Review the child's most recent re:Bloom assessment tool results. Note the specific indicators where progress is absent or significantly delayed.</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Complete the developmental continuum check: use Section 1 of this guide to identify where the child is currently functioning in the domains of concern. Note the discrepancy between current functioning and age-expected functioning.</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Review the environment: before concluding that the child has a developmental concern, review the Tier 1 checklist. Is the language environment truly rich? Is the curriculum being implemented with fidelity? Is the primary caregiver relationship secure? Environmental and instructional factors must be ruled out before a developmental concern can be identified.</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Consult with your director: share your documentation and your concerns. Directors can access program-level resources including early intervention contacts, community mental health consultants, and educational specialists.</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Meet with the family: schedule a dedicated meeting, not a pickup conversation. Share your observations specifically and without judgment. Use the re:Bloom standard codes and the developmental continuum to contextualize what you are seeing. Ask the family what they observe at home. Listen fully.</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Make the referral: for children under three, contact your local Early Intervention program (IDEA Part C). For children three and older, contact your local education agency. Provide your documentation as part of the referral packet.</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Continue re:Bloom implementation: the referral process takes time. Continue providing high-quality re:Bloom Tier 1 and Tier 2 implementation while the evaluation is in progress. The curriculum is not suspended during evaluation.</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CAUTION</w:t>
            </w:r>
          </w:p>
        </w:tc>
        <w:tc>
          <w:tcPr>
            <w:tcW w:type="dxa" w:w="8560"/>
            <w:tcBorders>
              <w:top w:val="none" w:color="FFFFFF" w:sz="0"/>
              <w:left w:val="none" w:color="FFFFFF" w:sz="0"/>
              <w:bottom w:val="none" w:color="FFFFFF" w:sz="0"/>
              <w:right w:val="none" w:color="FFFFFF" w:sz="0"/>
            </w:tcBorders>
            <w:shd w:fill="FDEA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Never suggest to a family that their child 'has' a disability or diagnosis. You are not qualified to diagnose, and doing so may cause significant distress and undermine the family's trust. Share observations, express genuine care, and describe the referral process. Let the evaluation determine the rest.</w:t>
            </w:r>
          </w:p>
        </w:tc>
      </w:tr>
    </w:tbl>
    <w:p>
      <w:r>
        <w:br w:type="page"/>
      </w:r>
    </w:p>
    <w:p>
      <w:pPr>
        <w:pStyle w:val="Heading1"/>
      </w:pPr>
      <w:r>
        <w:t xml:space="preserve">Section 4: Referral Decision Guide</w:t>
      </w:r>
    </w:p>
    <w:p>
      <w:pPr>
        <w:spacing w:before="60" w:after="80"/>
        <w:jc w:val="left"/>
      </w:pPr>
      <w:r>
        <w:rPr>
          <w:rFonts w:ascii="Arial" w:cs="Arial" w:eastAsia="Arial" w:hAnsi="Arial"/>
          <w:b w:val="false"/>
          <w:bCs w:val="false"/>
          <w:i w:val="false"/>
          <w:iCs w:val="false"/>
          <w:color w:val="000000"/>
          <w:sz w:val="22"/>
          <w:szCs w:val="22"/>
        </w:rPr>
        <w:t xml:space="preserve">The following table lists specific developmental signs that warrant consultation with your director and a referral conversation with the family. These are not diagnoses. They are research-based indicators that a child's development may benefit from a formal evaluation by a qualified professional. When in doubt, consult rather than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A6B6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560"/>
            <w:tcBorders>
              <w:top w:val="none" w:color="FFFFFF" w:sz="0"/>
              <w:left w:val="none" w:color="FFFFFF" w:sz="0"/>
              <w:bottom w:val="none" w:color="FFFFFF" w:sz="0"/>
              <w:right w:val="none" w:color="FFFFFF" w:sz="0"/>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Earlier referral is always better than later. The brain is most responsive to intervention in the first three years of life. A referral that turns out to be unnecessary costs nothing. A delayed referral may cost the child months or years of effective early intervention.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Domain</w:t>
            </w:r>
          </w:p>
        </w:tc>
        <w:tc>
          <w:tcPr>
            <w:tcW w:type="dxa" w:w="180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Age</w:t>
            </w:r>
          </w:p>
        </w:tc>
        <w:tc>
          <w:tcPr>
            <w:tcW w:type="dxa" w:w="676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Developmental Sign Warranting Consultation and Possible Referral</w:t>
            </w:r>
          </w:p>
        </w:tc>
      </w:tr>
      <w:tr>
        <w:tc>
          <w:tcPr>
            <w:tcW w:type="dxa" w:w="8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LL</w:t>
            </w:r>
          </w:p>
        </w:tc>
        <w:tc>
          <w:tcPr>
            <w:tcW w:type="dxa" w:w="18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12 months</w:t>
            </w:r>
          </w:p>
        </w:tc>
        <w:tc>
          <w:tcPr>
            <w:tcW w:type="dxa" w:w="676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babbling, no pointing, no waving, no words</w:t>
            </w:r>
          </w:p>
        </w:tc>
      </w:tr>
      <w:tr>
        <w:tc>
          <w:tcPr>
            <w:tcW w:type="dxa" w:w="8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LL</w:t>
            </w:r>
          </w:p>
        </w:tc>
        <w:tc>
          <w:tcPr>
            <w:tcW w:type="dxa" w:w="18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15 months</w:t>
            </w:r>
          </w:p>
        </w:tc>
        <w:tc>
          <w:tcPr>
            <w:tcW w:type="dxa" w:w="676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single words</w:t>
            </w:r>
          </w:p>
        </w:tc>
      </w:tr>
      <w:tr>
        <w:tc>
          <w:tcPr>
            <w:tcW w:type="dxa" w:w="8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LL</w:t>
            </w:r>
          </w:p>
        </w:tc>
        <w:tc>
          <w:tcPr>
            <w:tcW w:type="dxa" w:w="18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18 months</w:t>
            </w:r>
          </w:p>
        </w:tc>
        <w:tc>
          <w:tcPr>
            <w:tcW w:type="dxa" w:w="676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using at least six to ten words consistently</w:t>
            </w:r>
          </w:p>
        </w:tc>
      </w:tr>
      <w:tr>
        <w:tc>
          <w:tcPr>
            <w:tcW w:type="dxa" w:w="8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LL</w:t>
            </w:r>
          </w:p>
        </w:tc>
        <w:tc>
          <w:tcPr>
            <w:tcW w:type="dxa" w:w="18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24 months</w:t>
            </w:r>
          </w:p>
        </w:tc>
        <w:tc>
          <w:tcPr>
            <w:tcW w:type="dxa" w:w="676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combining two words; vocabulary fewer than 50 words</w:t>
            </w:r>
          </w:p>
        </w:tc>
      </w:tr>
      <w:tr>
        <w:tc>
          <w:tcPr>
            <w:tcW w:type="dxa" w:w="8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LL</w:t>
            </w:r>
          </w:p>
        </w:tc>
        <w:tc>
          <w:tcPr>
            <w:tcW w:type="dxa" w:w="180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36 months</w:t>
            </w:r>
          </w:p>
        </w:tc>
        <w:tc>
          <w:tcPr>
            <w:tcW w:type="dxa" w:w="6760"/>
            <w:tcBorders>
              <w:top w:val="single" w:color="1E8449" w:sz="4"/>
              <w:left w:val="single" w:color="1E8449" w:sz="4"/>
              <w:bottom w:val="single" w:color="1E8449" w:sz="4"/>
              <w:right w:val="single" w:color="1E844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Speech not understood by familiar adults most of the time; not using three-word sentences</w:t>
            </w:r>
          </w:p>
        </w:tc>
      </w:tr>
      <w:tr>
        <w:tc>
          <w:tcPr>
            <w:tcW w:type="dxa" w:w="8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E8449"/>
                <w:sz w:val="19"/>
                <w:szCs w:val="19"/>
              </w:rPr>
              <w:t xml:space="preserve">LL</w:t>
            </w:r>
          </w:p>
        </w:tc>
        <w:tc>
          <w:tcPr>
            <w:tcW w:type="dxa" w:w="180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48 months</w:t>
            </w:r>
          </w:p>
        </w:tc>
        <w:tc>
          <w:tcPr>
            <w:tcW w:type="dxa" w:w="6760"/>
            <w:tcBorders>
              <w:top w:val="single" w:color="1E8449" w:sz="4"/>
              <w:left w:val="single" w:color="1E8449" w:sz="4"/>
              <w:bottom w:val="single" w:color="1E8449" w:sz="4"/>
              <w:right w:val="single" w:color="1E8449" w:sz="4"/>
            </w:tcBorders>
            <w:shd w:fill="E9F7E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Speech not understood by unfamiliar adults; not using four-word sentences</w:t>
            </w:r>
          </w:p>
        </w:tc>
      </w:tr>
      <w:tr>
        <w:tc>
          <w:tcPr>
            <w:tcW w:type="dxa" w:w="8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CO</w:t>
            </w:r>
          </w:p>
        </w:tc>
        <w:tc>
          <w:tcPr>
            <w:tcW w:type="dxa" w:w="18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12 months</w:t>
            </w:r>
          </w:p>
        </w:tc>
        <w:tc>
          <w:tcPr>
            <w:tcW w:type="dxa" w:w="676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searching for hidden objects; no imitation of actions</w:t>
            </w:r>
          </w:p>
        </w:tc>
      </w:tr>
      <w:tr>
        <w:tc>
          <w:tcPr>
            <w:tcW w:type="dxa" w:w="80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CO</w:t>
            </w:r>
          </w:p>
        </w:tc>
        <w:tc>
          <w:tcPr>
            <w:tcW w:type="dxa" w:w="180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18 months</w:t>
            </w:r>
          </w:p>
        </w:tc>
        <w:tc>
          <w:tcPr>
            <w:tcW w:type="dxa" w:w="6760"/>
            <w:tcBorders>
              <w:top w:val="single" w:color="1A5276" w:sz="4"/>
              <w:left w:val="single" w:color="1A5276" w:sz="4"/>
              <w:bottom w:val="single" w:color="1A5276" w:sz="4"/>
              <w:right w:val="single" w:color="1A5276" w:sz="4"/>
            </w:tcBorders>
            <w:shd w:fill="EBF5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functional object use; no pretend play beginning</w:t>
            </w:r>
          </w:p>
        </w:tc>
      </w:tr>
      <w:tr>
        <w:tc>
          <w:tcPr>
            <w:tcW w:type="dxa" w:w="8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1A5276"/>
                <w:sz w:val="19"/>
                <w:szCs w:val="19"/>
              </w:rPr>
              <w:t xml:space="preserve">CO</w:t>
            </w:r>
          </w:p>
        </w:tc>
        <w:tc>
          <w:tcPr>
            <w:tcW w:type="dxa" w:w="180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36 months</w:t>
            </w:r>
          </w:p>
        </w:tc>
        <w:tc>
          <w:tcPr>
            <w:tcW w:type="dxa" w:w="6760"/>
            <w:tcBorders>
              <w:top w:val="single" w:color="1A5276" w:sz="4"/>
              <w:left w:val="single" w:color="1A5276" w:sz="4"/>
              <w:bottom w:val="single" w:color="1A5276" w:sz="4"/>
              <w:right w:val="single" w:color="1A5276"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categorizing objects; not using simple causal language</w:t>
            </w:r>
          </w:p>
        </w:tc>
      </w:tr>
      <w:tr>
        <w:tc>
          <w:tcPr>
            <w:tcW w:type="dxa" w:w="8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SE</w:t>
            </w:r>
          </w:p>
        </w:tc>
        <w:tc>
          <w:tcPr>
            <w:tcW w:type="dxa" w:w="18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6 months</w:t>
            </w:r>
          </w:p>
        </w:tc>
        <w:tc>
          <w:tcPr>
            <w:tcW w:type="dxa" w:w="676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social smile; no response to caregiver voice</w:t>
            </w:r>
          </w:p>
        </w:tc>
      </w:tr>
      <w:tr>
        <w:tc>
          <w:tcPr>
            <w:tcW w:type="dxa" w:w="8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SE</w:t>
            </w:r>
          </w:p>
        </w:tc>
        <w:tc>
          <w:tcPr>
            <w:tcW w:type="dxa" w:w="18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12 months</w:t>
            </w:r>
          </w:p>
        </w:tc>
        <w:tc>
          <w:tcPr>
            <w:tcW w:type="dxa" w:w="676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attachment behaviors; no stranger wariness; no joint attention</w:t>
            </w:r>
          </w:p>
        </w:tc>
      </w:tr>
      <w:tr>
        <w:tc>
          <w:tcPr>
            <w:tcW w:type="dxa" w:w="8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SE</w:t>
            </w:r>
          </w:p>
        </w:tc>
        <w:tc>
          <w:tcPr>
            <w:tcW w:type="dxa" w:w="180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24 months</w:t>
            </w:r>
          </w:p>
        </w:tc>
        <w:tc>
          <w:tcPr>
            <w:tcW w:type="dxa" w:w="6760"/>
            <w:tcBorders>
              <w:top w:val="single" w:color="CA6F1E" w:sz="4"/>
              <w:left w:val="single" w:color="CA6F1E" w:sz="4"/>
              <w:bottom w:val="single" w:color="CA6F1E" w:sz="4"/>
              <w:right w:val="single" w:color="CA6F1E" w:sz="4"/>
            </w:tcBorders>
            <w:shd w:fill="FEF5E7"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peer awareness; no imitation of others; no pointing to share</w:t>
            </w:r>
          </w:p>
        </w:tc>
      </w:tr>
      <w:tr>
        <w:tc>
          <w:tcPr>
            <w:tcW w:type="dxa" w:w="8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A6F1E"/>
                <w:sz w:val="19"/>
                <w:szCs w:val="19"/>
              </w:rPr>
              <w:t xml:space="preserve">SE</w:t>
            </w:r>
          </w:p>
        </w:tc>
        <w:tc>
          <w:tcPr>
            <w:tcW w:type="dxa" w:w="180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36 months</w:t>
            </w:r>
          </w:p>
        </w:tc>
        <w:tc>
          <w:tcPr>
            <w:tcW w:type="dxa" w:w="6760"/>
            <w:tcBorders>
              <w:top w:val="single" w:color="CA6F1E" w:sz="4"/>
              <w:left w:val="single" w:color="CA6F1E" w:sz="4"/>
              <w:bottom w:val="single" w:color="CA6F1E" w:sz="4"/>
              <w:right w:val="single" w:color="CA6F1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 peer interaction; cannot be comforted by familiar caregiver; no pretend play</w:t>
            </w:r>
          </w:p>
        </w:tc>
      </w:tr>
      <w:tr>
        <w:tc>
          <w:tcPr>
            <w:tcW w:type="dxa" w:w="8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PW</w:t>
            </w:r>
          </w:p>
        </w:tc>
        <w:tc>
          <w:tcPr>
            <w:tcW w:type="dxa" w:w="18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3 months</w:t>
            </w:r>
          </w:p>
        </w:tc>
        <w:tc>
          <w:tcPr>
            <w:tcW w:type="dxa" w:w="676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holding head up during tummy time; poor feeding</w:t>
            </w:r>
          </w:p>
        </w:tc>
      </w:tr>
      <w:tr>
        <w:tc>
          <w:tcPr>
            <w:tcW w:type="dxa" w:w="8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PW</w:t>
            </w:r>
          </w:p>
        </w:tc>
        <w:tc>
          <w:tcPr>
            <w:tcW w:type="dxa" w:w="18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6 months</w:t>
            </w:r>
          </w:p>
        </w:tc>
        <w:tc>
          <w:tcPr>
            <w:tcW w:type="dxa" w:w="676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rolling; not reaching for objects; not bearing weight on legs when supported</w:t>
            </w:r>
          </w:p>
        </w:tc>
      </w:tr>
      <w:tr>
        <w:tc>
          <w:tcPr>
            <w:tcW w:type="dxa" w:w="8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PW</w:t>
            </w:r>
          </w:p>
        </w:tc>
        <w:tc>
          <w:tcPr>
            <w:tcW w:type="dxa" w:w="18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12 months</w:t>
            </w:r>
          </w:p>
        </w:tc>
        <w:tc>
          <w:tcPr>
            <w:tcW w:type="dxa" w:w="676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pulling to stand; not cruising; significant movement asymmetry</w:t>
            </w:r>
          </w:p>
        </w:tc>
      </w:tr>
      <w:tr>
        <w:tc>
          <w:tcPr>
            <w:tcW w:type="dxa" w:w="8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PW</w:t>
            </w:r>
          </w:p>
        </w:tc>
        <w:tc>
          <w:tcPr>
            <w:tcW w:type="dxa" w:w="180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18 months</w:t>
            </w:r>
          </w:p>
        </w:tc>
        <w:tc>
          <w:tcPr>
            <w:tcW w:type="dxa" w:w="6760"/>
            <w:tcBorders>
              <w:top w:val="single" w:color="C0392B" w:sz="4"/>
              <w:left w:val="single" w:color="C0392B" w:sz="4"/>
              <w:bottom w:val="single" w:color="C0392B" w:sz="4"/>
              <w:right w:val="single" w:color="C0392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Not walking independently; not using pincer grasp</w:t>
            </w:r>
          </w:p>
        </w:tc>
      </w:tr>
      <w:tr>
        <w:tc>
          <w:tcPr>
            <w:tcW w:type="dxa" w:w="8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C0392B"/>
                <w:sz w:val="19"/>
                <w:szCs w:val="19"/>
              </w:rPr>
              <w:t xml:space="preserve">PW</w:t>
            </w:r>
          </w:p>
        </w:tc>
        <w:tc>
          <w:tcPr>
            <w:tcW w:type="dxa" w:w="180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36 months</w:t>
            </w:r>
          </w:p>
        </w:tc>
        <w:tc>
          <w:tcPr>
            <w:tcW w:type="dxa" w:w="6760"/>
            <w:tcBorders>
              <w:top w:val="single" w:color="C0392B" w:sz="4"/>
              <w:left w:val="single" w:color="C0392B" w:sz="4"/>
              <w:bottom w:val="single" w:color="C0392B" w:sz="4"/>
              <w:right w:val="single" w:color="C0392B" w:sz="4"/>
            </w:tcBorders>
            <w:shd w:fill="FDED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Cannot run without falling; cannot kick a ball; cannot draw a vertical line</w:t>
            </w:r>
          </w:p>
        </w:tc>
      </w:tr>
      <w:tr>
        <w:tc>
          <w:tcPr>
            <w:tcW w:type="dxa" w:w="80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2980B9"/>
                <w:sz w:val="19"/>
                <w:szCs w:val="19"/>
              </w:rPr>
              <w:t xml:space="preserve">AL</w:t>
            </w:r>
          </w:p>
        </w:tc>
        <w:tc>
          <w:tcPr>
            <w:tcW w:type="dxa" w:w="180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Any age</w:t>
            </w:r>
          </w:p>
        </w:tc>
        <w:tc>
          <w:tcPr>
            <w:tcW w:type="dxa" w:w="6760"/>
            <w:tcBorders>
              <w:top w:val="single" w:color="2980B9" w:sz="4"/>
              <w:left w:val="single" w:color="2980B9" w:sz="4"/>
              <w:bottom w:val="single" w:color="2980B9" w:sz="4"/>
              <w:right w:val="single" w:color="2980B9"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Persistent flat affect; no curiosity toward any materials or people; no reaction to novel stimuli. These are significant developmental and relational concerns.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B6B" w:sz="8"/>
              <w:left w:val="single" w:color="2A6B6B" w:sz="8"/>
              <w:bottom w:val="single" w:color="2A6B6B" w:sz="8"/>
              <w:right w:val="single" w:color="2A6B6B" w:sz="8"/>
            </w:tcBorders>
            <w:shd w:fill="2A6B6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3"/>
                <w:szCs w:val="23"/>
              </w:rPr>
              <w:t xml:space="preserve">Key Referral Contacts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Service or Resource</w:t>
            </w:r>
          </w:p>
        </w:tc>
        <w:tc>
          <w:tcPr>
            <w:tcW w:type="dxa" w:w="636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Purpose and When to Contact</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Early Intervention (IDEA Part C)</w:t>
            </w:r>
          </w:p>
        </w:tc>
        <w:tc>
          <w:tcPr>
            <w:tcW w:type="dxa" w:w="6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For children birth through age two with a suspected developmental delay or disability. Provides evaluations and services at no cost to families. Contact your state's lead agency (typically the Department of Health or Education). Do not wait for a diagnosis; children can be referred based on developmental concern alone.</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Local Education Agency (LEA): Child Find</w:t>
            </w:r>
          </w:p>
        </w:tc>
        <w:tc>
          <w:tcPr>
            <w:tcW w:type="dxa" w:w="6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For children age three and older with a suspected developmental delay or disability. Every LEA is required by IDEA to identify, evaluate, and serve eligible children. Contact the special education office of your local school district.</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Developmental Pediatrician</w:t>
            </w:r>
          </w:p>
        </w:tc>
        <w:tc>
          <w:tcPr>
            <w:tcW w:type="dxa" w:w="6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When the child's pediatrician has concerns or when multiple domains are affected simultaneously. Developmental pediatricians conduct comprehensive evaluations and can diagnose conditions including autism spectrum disorder, ADHD, and developmental delays.</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Speech-Language Pathologist</w:t>
            </w:r>
          </w:p>
        </w:tc>
        <w:tc>
          <w:tcPr>
            <w:tcW w:type="dxa" w:w="6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When concerns are specific to language, communication, or feeding. Can be accessed through Early Intervention, the LEA, or privately. Consult when language milestones are missed at the ages listed in the referral guide above.</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Occupational Therapist</w:t>
            </w:r>
          </w:p>
        </w:tc>
        <w:tc>
          <w:tcPr>
            <w:tcW w:type="dxa" w:w="6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When concerns involve fine motor development, sensory processing, self-care skills, or feeding. Can be accessed through Early Intervention, the LEA, or privately.</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Physical Therapist</w:t>
            </w:r>
          </w:p>
        </w:tc>
        <w:tc>
          <w:tcPr>
            <w:tcW w:type="dxa" w:w="6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When concerns involve gross motor development, muscle tone, coordination, or mobility. Can be accessed through Early Intervention, the LEA, or privately.</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Mental Health Consultant (IECMH)</w:t>
            </w:r>
          </w:p>
        </w:tc>
        <w:tc>
          <w:tcPr>
            <w:tcW w:type="dxa" w:w="6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For children of any age when behavior, social-emotional development, or relational concerns are the primary worry. Infant and Early Childhood Mental Health consultants specialize in the birth-to-five period. Many state systems have IECMH consultation available at no cost.</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A3A3A"/>
                <w:sz w:val="19"/>
                <w:szCs w:val="19"/>
              </w:rPr>
              <w:t xml:space="preserve">Vision and Hearing Specialist</w:t>
            </w:r>
          </w:p>
        </w:tc>
        <w:tc>
          <w:tcPr>
            <w:tcW w:type="dxa" w:w="6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When any developmental concern exists. Vision and hearing impairments can cause delays across multiple domains that resolve with correction. These screenings are inexpensive, fast, and should be completed before any other referral is made.</w:t>
            </w:r>
          </w:p>
        </w:tc>
      </w:tr>
    </w:tbl>
    <w:p>
      <w:r>
        <w:br w:type="page"/>
      </w:r>
    </w:p>
    <w:p>
      <w:pPr>
        <w:pStyle w:val="Heading1"/>
      </w:pPr>
      <w:r>
        <w:t xml:space="preserve">Section 5: Documenting Re:Bloom Progress for IEP and IFSP Purposes</w:t>
      </w:r>
    </w:p>
    <w:p>
      <w:pPr>
        <w:spacing w:before="60" w:after="80"/>
        <w:jc w:val="left"/>
      </w:pPr>
      <w:r>
        <w:rPr>
          <w:rFonts w:ascii="Arial" w:cs="Arial" w:eastAsia="Arial" w:hAnsi="Arial"/>
          <w:b w:val="false"/>
          <w:bCs w:val="false"/>
          <w:i w:val="false"/>
          <w:iCs w:val="false"/>
          <w:color w:val="000000"/>
          <w:sz w:val="22"/>
          <w:szCs w:val="22"/>
        </w:rPr>
        <w:t xml:space="preserve">Children with active IEPs and IFSPs require ongoing documentation of progress toward their individualized goals. Re:Bloom's standard code structure makes this documentation straightforward: each IEP or IFSP goal can be linked to one or more re:Bloom standard codes, and the indicators within those standards provide the specific observable behaviors used to measure progress.</w:t>
      </w:r>
    </w:p>
    <w:p>
      <w:pPr>
        <w:spacing w:before="160" w:after="80"/>
      </w:pPr>
      <w:r>
        <w:rPr>
          <w:rFonts w:ascii="Arial" w:cs="Arial" w:eastAsia="Arial" w:hAnsi="Arial"/>
          <w:b/>
          <w:bCs/>
          <w:i w:val="false"/>
          <w:iCs w:val="false"/>
          <w:color w:val="1A3A3A"/>
          <w:sz w:val="23"/>
          <w:szCs w:val="23"/>
        </w:rPr>
        <w:t xml:space="preserve">How to Connect IEP Goals to Re:Bloom Standards</w:t>
      </w:r>
    </w:p>
    <w:p>
      <w:pPr>
        <w:spacing w:before="60" w:after="80"/>
        <w:jc w:val="left"/>
      </w:pPr>
      <w:r>
        <w:rPr>
          <w:rFonts w:ascii="Arial" w:cs="Arial" w:eastAsia="Arial" w:hAnsi="Arial"/>
          <w:b w:val="false"/>
          <w:bCs w:val="false"/>
          <w:i w:val="false"/>
          <w:iCs w:val="false"/>
          <w:color w:val="000000"/>
          <w:sz w:val="22"/>
          <w:szCs w:val="22"/>
        </w:rPr>
        <w:t xml:space="preserve">Most early childhood IEP goals target the same developmental areas that re:Bloom organizes into nine domains. The following connections are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Common IEP Goal Area</w:t>
            </w:r>
          </w:p>
        </w:tc>
        <w:tc>
          <w:tcPr>
            <w:tcW w:type="dxa" w:w="300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Re:Bloom Standard Code</w:t>
            </w:r>
          </w:p>
        </w:tc>
        <w:tc>
          <w:tcPr>
            <w:tcW w:type="dxa" w:w="3360"/>
            <w:tcBorders>
              <w:top w:val="single" w:color="1A3A3A" w:sz="6"/>
              <w:left w:val="single" w:color="1A3A3A" w:sz="6"/>
              <w:bottom w:val="single" w:color="1A3A3A" w:sz="6"/>
              <w:right w:val="single" w:color="1A3A3A" w:sz="6"/>
            </w:tcBorders>
            <w:shd w:fill="1A3A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Relevant Indicators</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Receptive language</w:t>
            </w:r>
          </w:p>
        </w:tc>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LL.1.a</w:t>
            </w:r>
          </w:p>
        </w:tc>
        <w:tc>
          <w:tcPr>
            <w:tcW w:type="dxa" w:w="3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Follows one-step, then two-step directions; responds to named objects and people</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Expressive language</w:t>
            </w:r>
          </w:p>
        </w:tc>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LL.1.c</w:t>
            </w:r>
          </w:p>
        </w:tc>
        <w:tc>
          <w:tcPr>
            <w:tcW w:type="dxa" w:w="3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First words, word combinations, sentence length milestones</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Phonological awareness</w:t>
            </w:r>
          </w:p>
        </w:tc>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LL.2.a, LL.2.b, LL.2.c</w:t>
            </w:r>
          </w:p>
        </w:tc>
        <w:tc>
          <w:tcPr>
            <w:tcW w:type="dxa" w:w="3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Syllable clapping, onset-rime, rhyme detection, initial sound isolation</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Social-emotional regulation</w:t>
            </w:r>
          </w:p>
        </w:tc>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SE.2.a</w:t>
            </w:r>
          </w:p>
        </w:tc>
        <w:tc>
          <w:tcPr>
            <w:tcW w:type="dxa" w:w="3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Uses strategies with adult support; duration of dysregulation decreasing</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Peer interaction</w:t>
            </w:r>
          </w:p>
        </w:tc>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SE.4.b</w:t>
            </w:r>
          </w:p>
        </w:tc>
        <w:tc>
          <w:tcPr>
            <w:tcW w:type="dxa" w:w="3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Initiates contact, parallel play, cooperative play, turn-taking</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Self-care and independence</w:t>
            </w:r>
          </w:p>
        </w:tc>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PW.2.b</w:t>
            </w:r>
          </w:p>
        </w:tc>
        <w:tc>
          <w:tcPr>
            <w:tcW w:type="dxa" w:w="3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Dressing, handwashing, toileting, feeding steps</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Fine motor</w:t>
            </w:r>
          </w:p>
        </w:tc>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PW.1.b</w:t>
            </w:r>
          </w:p>
        </w:tc>
        <w:tc>
          <w:tcPr>
            <w:tcW w:type="dxa" w:w="3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Grasp progression, tool use, cutting, drawing milestones</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Gross motor</w:t>
            </w:r>
          </w:p>
        </w:tc>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PW.1.a</w:t>
            </w:r>
          </w:p>
        </w:tc>
        <w:tc>
          <w:tcPr>
            <w:tcW w:type="dxa" w:w="3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Locomotor milestones, balance, coordination</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Counting and number sense</w:t>
            </w:r>
          </w:p>
        </w:tc>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MA.1.a, MA.1.b</w:t>
            </w:r>
          </w:p>
        </w:tc>
        <w:tc>
          <w:tcPr>
            <w:tcW w:type="dxa" w:w="3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Stable order, one-to-one correspondence, cardinality</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Cognitive problem-solving</w:t>
            </w:r>
          </w:p>
        </w:tc>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CO.3.a</w:t>
            </w:r>
          </w:p>
        </w:tc>
        <w:tc>
          <w:tcPr>
            <w:tcW w:type="dxa" w:w="3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Number of strategies tried; persistence; help-seeking as strategy</w:t>
            </w:r>
          </w:p>
        </w:tc>
      </w:tr>
      <w:tr>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Following routines and rules</w:t>
            </w:r>
          </w:p>
        </w:tc>
        <w:tc>
          <w:tcPr>
            <w:tcW w:type="dxa" w:w="300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SE.2.a, CO.4.a, SS.1.c</w:t>
            </w:r>
          </w:p>
        </w:tc>
        <w:tc>
          <w:tcPr>
            <w:tcW w:type="dxa" w:w="3360"/>
            <w:tcBorders>
              <w:top w:val="single" w:color="2A6B6B" w:sz="4"/>
              <w:left w:val="single" w:color="2A6B6B" w:sz="4"/>
              <w:bottom w:val="single" w:color="2A6B6B" w:sz="4"/>
              <w:right w:val="single" w:color="2A6B6B"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Transitions with preparation; rule-following consistency</w:t>
            </w:r>
          </w:p>
        </w:tc>
      </w:tr>
      <w:tr>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Communication using AAC</w:t>
            </w:r>
          </w:p>
        </w:tc>
        <w:tc>
          <w:tcPr>
            <w:tcW w:type="dxa" w:w="300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A6B6B"/>
                <w:sz w:val="19"/>
                <w:szCs w:val="19"/>
              </w:rPr>
              <w:t xml:space="preserve">LL.1.c, LL.1.d</w:t>
            </w:r>
          </w:p>
        </w:tc>
        <w:tc>
          <w:tcPr>
            <w:tcW w:type="dxa" w:w="3360"/>
            <w:tcBorders>
              <w:top w:val="single" w:color="2A6B6B" w:sz="4"/>
              <w:left w:val="single" w:color="2A6B6B" w:sz="4"/>
              <w:bottom w:val="single" w:color="2A6B6B" w:sz="4"/>
              <w:right w:val="single" w:color="2A6B6B" w:sz="4"/>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19"/>
                <w:szCs w:val="19"/>
              </w:rPr>
              <w:t xml:space="preserve">Communicative intent; turn-taking; vocabulary expansion on device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1A3A3A"/>
          <w:sz w:val="23"/>
          <w:szCs w:val="23"/>
        </w:rPr>
        <w:t xml:space="preserve">Sample IEP Documentation Language Using Re:Bloom</w:t>
      </w:r>
    </w:p>
    <w:p>
      <w:pPr>
        <w:spacing w:before="60" w:after="80"/>
        <w:jc w:val="left"/>
      </w:pPr>
      <w:r>
        <w:rPr>
          <w:rFonts w:ascii="Arial" w:cs="Arial" w:eastAsia="Arial" w:hAnsi="Arial"/>
          <w:b w:val="false"/>
          <w:bCs w:val="false"/>
          <w:i w:val="false"/>
          <w:iCs w:val="false"/>
          <w:color w:val="000000"/>
          <w:sz w:val="22"/>
          <w:szCs w:val="22"/>
        </w:rPr>
        <w:t xml:space="preserve">When writing progress notes toward an IEP goal using re:Bloom observations, use the following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A6B6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FORMAT</w:t>
            </w:r>
          </w:p>
        </w:tc>
        <w:tc>
          <w:tcPr>
            <w:tcW w:type="dxa" w:w="8560"/>
            <w:tcBorders>
              <w:top w:val="none" w:color="FFFFFF" w:sz="0"/>
              <w:left w:val="none" w:color="FFFFFF" w:sz="0"/>
              <w:bottom w:val="none" w:color="FFFFFF" w:sz="0"/>
              <w:right w:val="none" w:color="FFFFFF" w:sz="0"/>
            </w:tcBorders>
            <w:shd w:fill="EAF4F4"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[Date] [Child's name] [observed behavior, specific and verbatim if verbal] during [context]. This documents [re:Bloom standard code] at the [indicator level: Not Yet Observed, Emerging, Developing, or Consistently Observed] level. [One sentence noting change from previous observation period, if applicable.]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EXAMPLE</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October 12. Marcus followed a two-step direction ('Get your jacket and put it in your cubby') without repetition during afternoon routine. This documents LL.1.a at the Developing level. In September, Marcus required the direction to be broken into two separate one-step prompts.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160" w:after="80"/>
      </w:pPr>
      <w:r>
        <w:rPr>
          <w:rFonts w:ascii="Arial" w:cs="Arial" w:eastAsia="Arial" w:hAnsi="Arial"/>
          <w:b/>
          <w:bCs/>
          <w:i w:val="false"/>
          <w:iCs w:val="false"/>
          <w:color w:val="1A3A3A"/>
          <w:sz w:val="23"/>
          <w:szCs w:val="23"/>
        </w:rPr>
        <w:t xml:space="preserve">Coordination with Specialists</w:t>
      </w:r>
    </w:p>
    <w:p>
      <w:pPr>
        <w:spacing w:before="60" w:after="80"/>
        <w:jc w:val="left"/>
      </w:pPr>
      <w:r>
        <w:rPr>
          <w:rFonts w:ascii="Arial" w:cs="Arial" w:eastAsia="Arial" w:hAnsi="Arial"/>
          <w:b w:val="false"/>
          <w:bCs w:val="false"/>
          <w:i w:val="false"/>
          <w:iCs w:val="false"/>
          <w:color w:val="000000"/>
          <w:sz w:val="22"/>
          <w:szCs w:val="22"/>
        </w:rPr>
        <w:t xml:space="preserve">When a child in your program has active services from a speech-language pathologist, occupational therapist, physical therapist, or behavioral specialist, the most effective approach is coordinated service delivery, where the re:Bloom classroom environment reinforces what the specialist is working on. Ask each specialist three questions at the beginning of the year:</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What specific skill or behavior are you targeting in your sessions this month?</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What language or vocabulary are you using with this child for that skill?</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What can I do in the classroom environment to support what you are working on?</w:t>
      </w:r>
    </w:p>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Reciprocally, share with the specialist what re:Bloom standard you are currently documenting for this child and what you are observing. A brief monthly email or note exchange creates a coordinated team approach without requiring formal meeting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TIP</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Invite specialists to observe the child in the classroom environment once per semester. Specialists who only see a child in a pull-out setting see a decontextualized version of the child. The classroom observation often shifts their understanding of the child's strengths and needs significantly.</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p>
      <w:pPr>
        <w:pStyle w:val="Heading1"/>
      </w:pPr>
      <w:r>
        <w:t xml:space="preserve">References</w:t>
      </w:r>
    </w:p>
    <w:p>
      <w:pPr>
        <w:spacing w:before="60" w:after="80"/>
        <w:jc w:val="left"/>
      </w:pPr>
      <w:r>
        <w:rPr>
          <w:rFonts w:ascii="Arial" w:cs="Arial" w:eastAsia="Arial" w:hAnsi="Arial"/>
          <w:b w:val="false"/>
          <w:bCs w:val="false"/>
          <w:i w:val="false"/>
          <w:iCs w:val="false"/>
          <w:color w:val="000000"/>
          <w:sz w:val="22"/>
          <w:szCs w:val="22"/>
        </w:rPr>
        <w:t xml:space="preserve">The following sources informed the development of this guide:</w:t>
      </w:r>
    </w:p>
    <w:p>
      <w:pPr>
        <w:spacing w:before="60" w:after="60"/>
        <w:ind w:left="720" w:hanging="720"/>
      </w:pPr>
      <w:r>
        <w:rPr>
          <w:rFonts w:ascii="Arial" w:cs="Arial" w:eastAsia="Arial" w:hAnsi="Arial"/>
          <w:b w:val="false"/>
          <w:bCs w:val="false"/>
          <w:i w:val="false"/>
          <w:iCs w:val="false"/>
          <w:color w:val="000000"/>
          <w:sz w:val="20"/>
          <w:szCs w:val="20"/>
        </w:rPr>
        <w:t xml:space="preserve">Buysse, V., and Peisner-Feinberg, E. (2013). Handbook of Response to Intervention in Early Childhood. Baltimore: Brookes.</w:t>
      </w:r>
    </w:p>
    <w:p>
      <w:pPr>
        <w:spacing w:before="60" w:after="60"/>
        <w:ind w:left="720" w:hanging="720"/>
      </w:pPr>
      <w:r>
        <w:rPr>
          <w:rFonts w:ascii="Arial" w:cs="Arial" w:eastAsia="Arial" w:hAnsi="Arial"/>
          <w:b w:val="false"/>
          <w:bCs w:val="false"/>
          <w:i w:val="false"/>
          <w:iCs w:val="false"/>
          <w:color w:val="000000"/>
          <w:sz w:val="20"/>
          <w:szCs w:val="20"/>
        </w:rPr>
        <w:t xml:space="preserve">Center on the Developing Child at Harvard University. (2020). Executive Function and Self-Regulation. Retrieved from https://developingchild.harvard.edu</w:t>
      </w:r>
    </w:p>
    <w:p>
      <w:pPr>
        <w:spacing w:before="60" w:after="60"/>
        <w:ind w:left="720" w:hanging="720"/>
      </w:pPr>
      <w:r>
        <w:rPr>
          <w:rFonts w:ascii="Arial" w:cs="Arial" w:eastAsia="Arial" w:hAnsi="Arial"/>
          <w:b w:val="false"/>
          <w:bCs w:val="false"/>
          <w:i w:val="false"/>
          <w:iCs w:val="false"/>
          <w:color w:val="000000"/>
          <w:sz w:val="20"/>
          <w:szCs w:val="20"/>
        </w:rPr>
        <w:t xml:space="preserve">Clements, D. H., and Sarama, J. (2014). Learning and Teaching Early Math: The Learning Trajectories Approach (2nd ed.). New York: Routledge.</w:t>
      </w:r>
    </w:p>
    <w:p>
      <w:pPr>
        <w:spacing w:before="60" w:after="60"/>
        <w:ind w:left="720" w:hanging="720"/>
      </w:pPr>
      <w:r>
        <w:rPr>
          <w:rFonts w:ascii="Arial" w:cs="Arial" w:eastAsia="Arial" w:hAnsi="Arial"/>
          <w:b w:val="false"/>
          <w:bCs w:val="false"/>
          <w:i w:val="false"/>
          <w:iCs w:val="false"/>
          <w:color w:val="000000"/>
          <w:sz w:val="20"/>
          <w:szCs w:val="20"/>
        </w:rPr>
        <w:t xml:space="preserve">Diamond, A. (2013). Executive functions. Annual Review of Psychology, 64, 135-168.</w:t>
      </w:r>
    </w:p>
    <w:p>
      <w:pPr>
        <w:spacing w:before="60" w:after="60"/>
        <w:ind w:left="720" w:hanging="720"/>
      </w:pPr>
      <w:r>
        <w:rPr>
          <w:rFonts w:ascii="Arial" w:cs="Arial" w:eastAsia="Arial" w:hAnsi="Arial"/>
          <w:b w:val="false"/>
          <w:bCs w:val="false"/>
          <w:i w:val="false"/>
          <w:iCs w:val="false"/>
          <w:color w:val="000000"/>
          <w:sz w:val="20"/>
          <w:szCs w:val="20"/>
        </w:rPr>
        <w:t xml:space="preserve">Individuals with Disabilities Education Act (IDEA), 20 U.S.C. sections 1400 et seq. (2004).</w:t>
      </w:r>
    </w:p>
    <w:p>
      <w:pPr>
        <w:spacing w:before="60" w:after="60"/>
        <w:ind w:left="720" w:hanging="720"/>
      </w:pPr>
      <w:r>
        <w:rPr>
          <w:rFonts w:ascii="Arial" w:cs="Arial" w:eastAsia="Arial" w:hAnsi="Arial"/>
          <w:b w:val="false"/>
          <w:bCs w:val="false"/>
          <w:i w:val="false"/>
          <w:iCs w:val="false"/>
          <w:color w:val="000000"/>
          <w:sz w:val="20"/>
          <w:szCs w:val="20"/>
        </w:rPr>
        <w:t xml:space="preserve">Kilpatrick, D. A. (2015). Essentials of Assessing, Preventing, and Overcoming Reading Difficulties. Hoboken, NJ: Wiley.</w:t>
      </w:r>
    </w:p>
    <w:p>
      <w:pPr>
        <w:spacing w:before="60" w:after="60"/>
        <w:ind w:left="720" w:hanging="720"/>
      </w:pPr>
      <w:r>
        <w:rPr>
          <w:rFonts w:ascii="Arial" w:cs="Arial" w:eastAsia="Arial" w:hAnsi="Arial"/>
          <w:b w:val="false"/>
          <w:bCs w:val="false"/>
          <w:i w:val="false"/>
          <w:iCs w:val="false"/>
          <w:color w:val="000000"/>
          <w:sz w:val="20"/>
          <w:szCs w:val="20"/>
        </w:rPr>
        <w:t xml:space="preserve">National Scientific Council on the Developing Child. (2007). The Science of Early Childhood Development. Cambridge, MA: Center on the Developing Child, Harvard University.</w:t>
      </w:r>
    </w:p>
    <w:p>
      <w:pPr>
        <w:spacing w:before="60" w:after="60"/>
        <w:ind w:left="720" w:hanging="720"/>
      </w:pPr>
      <w:r>
        <w:rPr>
          <w:rFonts w:ascii="Arial" w:cs="Arial" w:eastAsia="Arial" w:hAnsi="Arial"/>
          <w:b w:val="false"/>
          <w:bCs w:val="false"/>
          <w:i w:val="false"/>
          <w:iCs w:val="false"/>
          <w:color w:val="000000"/>
          <w:sz w:val="20"/>
          <w:szCs w:val="20"/>
        </w:rPr>
        <w:t xml:space="preserve">Pianta, R. C., La Paro, K. M., and Hamre, B. K. (2008). Classroom Assessment Scoring System (CLASS) Pre-K. Baltimore: Brookes.</w:t>
      </w:r>
    </w:p>
    <w:p>
      <w:pPr>
        <w:spacing w:before="60" w:after="60"/>
        <w:ind w:left="720" w:hanging="720"/>
      </w:pPr>
      <w:r>
        <w:rPr>
          <w:rFonts w:ascii="Arial" w:cs="Arial" w:eastAsia="Arial" w:hAnsi="Arial"/>
          <w:b w:val="false"/>
          <w:bCs w:val="false"/>
          <w:i w:val="false"/>
          <w:iCs w:val="false"/>
          <w:color w:val="000000"/>
          <w:sz w:val="20"/>
          <w:szCs w:val="20"/>
        </w:rPr>
        <w:t xml:space="preserve">Sandall, S., McLean, M. E., and Smith, B. J. (2000). DEC Recommended Practices in Early Intervention and Early Childhood Special Education. Missoula, MT: Division for Early Childhood.</w:t>
      </w:r>
    </w:p>
    <w:p>
      <w:pPr>
        <w:spacing w:before="60" w:after="60"/>
        <w:ind w:left="720" w:hanging="720"/>
      </w:pPr>
      <w:r>
        <w:rPr>
          <w:rFonts w:ascii="Arial" w:cs="Arial" w:eastAsia="Arial" w:hAnsi="Arial"/>
          <w:b w:val="false"/>
          <w:bCs w:val="false"/>
          <w:i w:val="false"/>
          <w:iCs w:val="false"/>
          <w:color w:val="000000"/>
          <w:sz w:val="20"/>
          <w:szCs w:val="20"/>
        </w:rPr>
        <w:t xml:space="preserve">Scarborough, H. S. (2001). Connecting early language and literacy to later reading disabilities. In S. Neuman and D. Dickinson (Eds.), Handbook for Research in Early Literacy (pp. 97-110). New York: Guilford.</w:t>
      </w:r>
    </w:p>
    <w:p>
      <w:pPr>
        <w:spacing w:before="60" w:after="60"/>
        <w:ind w:left="720" w:hanging="720"/>
      </w:pPr>
      <w:r>
        <w:rPr>
          <w:rFonts w:ascii="Arial" w:cs="Arial" w:eastAsia="Arial" w:hAnsi="Arial"/>
          <w:b w:val="false"/>
          <w:bCs w:val="false"/>
          <w:i w:val="false"/>
          <w:iCs w:val="false"/>
          <w:color w:val="000000"/>
          <w:sz w:val="20"/>
          <w:szCs w:val="20"/>
        </w:rPr>
        <w:t xml:space="preserve">Shonkoff, J. P., and Garner, A. S. (2012). The lifelong effects of early childhood adversity and toxic stress. Pediatrics, 129(1), e232-e246.</w:t>
      </w:r>
    </w:p>
    <w:p>
      <w:pPr>
        <w:spacing w:before="60" w:after="60"/>
        <w:ind w:left="720" w:hanging="720"/>
      </w:pPr>
      <w:r>
        <w:rPr>
          <w:rFonts w:ascii="Arial" w:cs="Arial" w:eastAsia="Arial" w:hAnsi="Arial"/>
          <w:b w:val="false"/>
          <w:bCs w:val="false"/>
          <w:i w:val="false"/>
          <w:iCs w:val="false"/>
          <w:color w:val="000000"/>
          <w:sz w:val="20"/>
          <w:szCs w:val="20"/>
        </w:rPr>
        <w:t xml:space="preserve">Vygotsky, L. S. (1978). Mind in Society: The Development of Higher Psychological Processes. Cambridge, MA: Harvard University Press.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D2A" w:val="clear"/>
            <w:tcMar>
              <w:top w:type="dxa" w:w="300"/>
              <w:left w:type="dxa" w:w="400"/>
              <w:bottom w:type="dxa" w:w="300"/>
              <w:right w:type="dxa" w:w="400"/>
            </w:tcMar>
            <w:vAlign w:val="center"/>
          </w:tcPr>
          <w:p>
            <w:pPr>
              <w:spacing w:before="60" w:after="40"/>
              <w:jc w:val="center"/>
            </w:pPr>
            <w:r>
              <w:rPr>
                <w:rFonts w:ascii="Arial" w:cs="Arial" w:eastAsia="Arial" w:hAnsi="Arial"/>
                <w:b/>
                <w:bCs/>
                <w:i w:val="false"/>
                <w:iCs w:val="false"/>
                <w:color w:val="FFFFFF"/>
                <w:sz w:val="28"/>
                <w:szCs w:val="28"/>
              </w:rPr>
              <w:t xml:space="preserve">Family Child Care Supplemental Section</w:t>
            </w:r>
          </w:p>
          <w:p>
            <w:pPr>
              <w:spacing w:before="60" w:after="80"/>
              <w:jc w:val="center"/>
            </w:pPr>
            <w:r>
              <w:rPr>
                <w:rFonts w:ascii="Arial" w:cs="Arial" w:eastAsia="Arial" w:hAnsi="Arial"/>
                <w:b w:val="false"/>
                <w:bCs w:val="false"/>
                <w:i/>
                <w:iCs/>
                <w:color w:val="E8C4B0"/>
                <w:sz w:val="22"/>
                <w:szCs w:val="22"/>
              </w:rPr>
              <w:t xml:space="preserve">Differentiation and Support in Mixed-Age, Home-Based Settings</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1"/>
      </w:pPr>
      <w:r>
        <w:rPr>
          <w:rFonts w:ascii="Arial" w:cs="Arial" w:eastAsia="Arial" w:hAnsi="Arial"/>
        </w:rPr>
        <w:t xml:space="preserve">FCC Section A: Differentiation in Mixed-Age Groups</w:t>
      </w:r>
    </w:p>
    <w:p>
      <w:pPr>
        <w:spacing w:before="80" w:after="80"/>
        <w:jc w:val="left"/>
      </w:pPr>
      <w:r>
        <w:rPr>
          <w:rFonts w:ascii="Arial" w:cs="Arial" w:eastAsia="Arial" w:hAnsi="Arial"/>
          <w:b w:val="false"/>
          <w:bCs w:val="false"/>
          <w:i w:val="false"/>
          <w:iCs w:val="false"/>
          <w:color w:val="000000"/>
          <w:sz w:val="22"/>
          <w:szCs w:val="22"/>
        </w:rPr>
        <w:t xml:space="preserve">Differentiation in a family child care setting is structurally different from differentiation in a center-based classroom. In a center-based room, differentiation means adjusting one activity for children at different levels within the same age group. In a family child care home, the developmental range within a single group may span birth to age five. This is not a problem to overcome. It is the natural structure of the FCC setting, and re:Bloom is designed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A85C3E" w:val="clear"/>
            <w:tcMar>
              <w:top w:type="dxa" w:w="80"/>
              <w:left w:type="dxa" w:w="60"/>
              <w:bottom w:type="dxa" w:w="80"/>
              <w:right w:type="dxa" w:w="60"/>
            </w:tcMar>
            <w:vAlign w:val="center"/>
          </w:tcPr>
          <w:p>
            <w:pPr>
              <w:spacing w:before="60" w:after="60"/>
              <w:jc w:val="center"/>
            </w:pPr>
            <w:r>
              <w:rPr>
                <w:rFonts w:ascii="Arial" w:cs="Arial" w:eastAsia="Arial" w:hAnsi="Arial"/>
                <w:b/>
                <w:bCs/>
                <w:i w:val="false"/>
                <w:iCs w:val="false"/>
                <w:color w:val="FFFFFF"/>
                <w:sz w:val="16"/>
                <w:szCs w:val="16"/>
              </w:rPr>
              <w:t xml:space="preserve">FCC</w:t>
            </w:r>
          </w:p>
        </w:tc>
        <w:tc>
          <w:tcPr>
            <w:tcW w:type="dxa" w:w="8840"/>
            <w:tcBorders>
              <w:top w:val="none" w:color="FFFFFF" w:sz="0"/>
              <w:left w:val="none" w:color="FFFFFF" w:sz="0"/>
              <w:bottom w:val="none" w:color="FFFFFF" w:sz="0"/>
              <w:right w:val="none" w:color="FFFFFF" w:sz="0"/>
            </w:tcBorders>
            <w:shd w:fill="FAF0EB" w:val="clear"/>
            <w:tcMar>
              <w:top w:type="dxa" w:w="80"/>
              <w:left w:type="dxa" w:w="140"/>
              <w:bottom w:type="dxa" w:w="80"/>
              <w:right w:type="dxa" w:w="100"/>
            </w:tcMar>
          </w:tcPr>
          <w:p>
            <w:pPr>
              <w:spacing w:before="60" w:after="60"/>
              <w:jc w:val="left"/>
            </w:pPr>
            <w:r>
              <w:rPr>
                <w:rFonts w:ascii="Arial" w:cs="Arial" w:eastAsia="Arial" w:hAnsi="Arial"/>
                <w:b w:val="false"/>
                <w:bCs w:val="false"/>
                <w:i/>
                <w:iCs/>
                <w:color w:val="000000"/>
                <w:sz w:val="20"/>
                <w:szCs w:val="20"/>
              </w:rPr>
              <w:t xml:space="preserve">The most effective differentiation strategy in FCC is the mixed-age structure itself. A toddler who plays near a preschooler engaged in complex block construction receives incidental exposure to more advanced spatial reasoning and vocabulary than any isolated same-age activity could provide. A preschooler who explains a concept to a toddler consolidates their own understanding. Plan for this interaction intentionally rather than working around it.</w:t>
            </w:r>
          </w:p>
        </w:tc>
      </w:tr>
    </w:tbl>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The Three-Level Entry Point Model</w:t>
      </w:r>
    </w:p>
    <w:p>
      <w:pPr>
        <w:spacing w:before="60" w:after="60"/>
        <w:jc w:val="left"/>
      </w:pPr>
      <w:r>
        <w:rPr>
          <w:rFonts w:ascii="Arial" w:cs="Arial" w:eastAsia="Arial" w:hAnsi="Arial"/>
          <w:b w:val="false"/>
          <w:bCs w:val="false"/>
          <w:i w:val="false"/>
          <w:iCs w:val="false"/>
          <w:color w:val="000000"/>
          <w:sz w:val="22"/>
          <w:szCs w:val="22"/>
        </w:rPr>
        <w:t xml:space="preserve">Every re:Bloom FCC activity is designed with three entry points. When planning, ask: how does this activity work for an infant, a toddler, and a preschooler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Age Band</w:t>
            </w:r>
          </w:p>
        </w:tc>
        <w:tc>
          <w:tcPr>
            <w:tcW w:type="dxa" w:w="234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Participation Mode</w:t>
            </w:r>
          </w:p>
        </w:tc>
        <w:tc>
          <w:tcPr>
            <w:tcW w:type="dxa" w:w="234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Language Role</w:t>
            </w:r>
          </w:p>
        </w:tc>
        <w:tc>
          <w:tcPr>
            <w:tcW w:type="dxa" w:w="234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Cognitive Demand</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Infant (Birth-12m)</w:t>
            </w:r>
          </w:p>
        </w:tc>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Sensory and observational participation; near the activity</w:t>
            </w:r>
          </w:p>
        </w:tc>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Receives rich narration; vocalizes in response</w:t>
            </w:r>
          </w:p>
        </w:tc>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Perceptual engagement; cause-and-effect discovery</w:t>
            </w:r>
          </w:p>
        </w:tc>
      </w:tr>
      <w:tr>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Toddler (12-36m)</w:t>
            </w:r>
          </w:p>
        </w:tc>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Active hands-on participation with materials and movement</w:t>
            </w:r>
          </w:p>
        </w:tc>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Names, labels, and responds to simple questions</w:t>
            </w:r>
          </w:p>
        </w:tc>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Concrete manipulation; emerging symbolic play</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Preschool (3-5)</w:t>
            </w:r>
          </w:p>
        </w:tc>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Goal-directed participation with prediction, documentation, and reflection</w:t>
            </w:r>
          </w:p>
        </w:tc>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Explains, predicts, argues, and narrates</w:t>
            </w:r>
          </w:p>
        </w:tc>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Abstract representation; hypothesis and conclusion</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1"/>
      </w:pPr>
      <w:r>
        <w:rPr>
          <w:rFonts w:ascii="Arial" w:cs="Arial" w:eastAsia="Arial" w:hAnsi="Arial"/>
        </w:rPr>
        <w:t xml:space="preserve">FCC Section B: Tiered Support in a Mixed-Age Home</w:t>
      </w:r>
    </w:p>
    <w:p>
      <w:pPr>
        <w:spacing w:before="80" w:after="80"/>
        <w:jc w:val="left"/>
      </w:pPr>
      <w:r>
        <w:rPr>
          <w:rFonts w:ascii="Arial" w:cs="Arial" w:eastAsia="Arial" w:hAnsi="Arial"/>
          <w:b w:val="false"/>
          <w:bCs w:val="false"/>
          <w:i w:val="false"/>
          <w:iCs w:val="false"/>
          <w:color w:val="000000"/>
          <w:sz w:val="22"/>
          <w:szCs w:val="22"/>
        </w:rPr>
        <w:t xml:space="preserve">The Tier 1, Tier 2, and Tier 3 intervention framework described in Section 3 of this guide applies fully in the FCC setting, with adaptations for the home-based context.</w:t>
      </w:r>
    </w:p>
    <w:p>
      <w:pPr>
        <w:pStyle w:val="Heading2"/>
      </w:pPr>
      <w:r>
        <w:rPr>
          <w:rFonts w:ascii="Arial" w:cs="Arial" w:eastAsia="Arial" w:hAnsi="Arial"/>
        </w:rPr>
        <w:t xml:space="preserve">Tier 1 in FCC: High-Quality Universal Practice</w:t>
      </w:r>
    </w:p>
    <w:p>
      <w:pPr>
        <w:spacing w:before="60" w:after="60"/>
        <w:jc w:val="left"/>
      </w:pPr>
      <w:r>
        <w:rPr>
          <w:rFonts w:ascii="Arial" w:cs="Arial" w:eastAsia="Arial" w:hAnsi="Arial"/>
          <w:b w:val="false"/>
          <w:bCs w:val="false"/>
          <w:i w:val="false"/>
          <w:iCs w:val="false"/>
          <w:color w:val="000000"/>
          <w:sz w:val="22"/>
          <w:szCs w:val="22"/>
        </w:rPr>
        <w:t xml:space="preserve">In a family child care home, Tier 1 is everything. The intimate setting, consistent relationship, individualized attention, and the fact that you know each child's family and history means that high-quality FCC is already one of the most protective environments available to young children. Tier 1 FCC practice includes: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Responsive, contingent caregiving that builds secure attachment with every child in the group</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Language-rich narration of every routine, transition, and activity throughout the day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Daily read-aloud with age-differentiated interaction (pointing for toddlers, inferential questions for preschoolers)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Consistent, predictable daily schedule posted visually and followed reliably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Sensory-rich, developmentally appropriate environment with accessible materials for all age groups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Daily outdoor time of at least 60 cumulative minutes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Family-style mealtimes with conversation</w:t>
      </w:r>
    </w:p>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Tier 2 in FCC: Targeted Support Without Leaving the Room</w:t>
      </w:r>
    </w:p>
    <w:p>
      <w:pPr>
        <w:spacing w:before="60" w:after="60"/>
        <w:jc w:val="left"/>
      </w:pPr>
      <w:r>
        <w:rPr>
          <w:rFonts w:ascii="Arial" w:cs="Arial" w:eastAsia="Arial" w:hAnsi="Arial"/>
          <w:b w:val="false"/>
          <w:bCs w:val="false"/>
          <w:i w:val="false"/>
          <w:iCs w:val="false"/>
          <w:color w:val="000000"/>
          <w:sz w:val="22"/>
          <w:szCs w:val="22"/>
        </w:rPr>
        <w:t xml:space="preserve">In a center-based program, Tier 2 support often involves a separate professional or a small-group pull-out session. In FCC, Tier 2 looks different: it is increased intentionality with a specific child within the natural flow of the day.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Increased one-on-one language interaction during caregiving routines for a child showing language delays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Additional physical support and movement opportunities embedded throughout the day for a child with sensory or motor needs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Deliberate emotion coaching and co-regulation practice for a child struggling with self-regulation</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More frequent documentation observations for a child where you have questions about their development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Proactive family communication: weekly written notes or conversations rather than only at pickup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D4A2D" w:val="clear"/>
            <w:tcMar>
              <w:top w:type="dxa" w:w="80"/>
              <w:left w:type="dxa" w:w="60"/>
              <w:bottom w:type="dxa" w:w="80"/>
              <w:right w:type="dxa" w:w="60"/>
            </w:tcMar>
            <w:vAlign w:val="center"/>
          </w:tcPr>
          <w:p>
            <w:pPr>
              <w:spacing w:before="60" w:after="60"/>
              <w:jc w:val="center"/>
            </w:pPr>
            <w:r>
              <w:rPr>
                <w:rFonts w:ascii="Arial" w:cs="Arial" w:eastAsia="Arial" w:hAnsi="Arial"/>
                <w:b/>
                <w:bCs/>
                <w:i w:val="false"/>
                <w:iCs w:val="false"/>
                <w:color w:val="FFFFFF"/>
                <w:sz w:val="16"/>
                <w:szCs w:val="16"/>
              </w:rPr>
              <w:t xml:space="preserve">TIP</w:t>
            </w:r>
          </w:p>
        </w:tc>
        <w:tc>
          <w:tcPr>
            <w:tcW w:type="dxa" w:w="8840"/>
            <w:tcBorders>
              <w:top w:val="none" w:color="FFFFFF" w:sz="0"/>
              <w:left w:val="none" w:color="FFFFFF" w:sz="0"/>
              <w:bottom w:val="none" w:color="FFFFFF" w:sz="0"/>
              <w:right w:val="none" w:color="FFFFFF" w:sz="0"/>
            </w:tcBorders>
            <w:shd w:fill="EAF3EA" w:val="clear"/>
            <w:tcMar>
              <w:top w:type="dxa" w:w="80"/>
              <w:left w:type="dxa" w:w="140"/>
              <w:bottom w:type="dxa" w:w="80"/>
              <w:right w:type="dxa" w:w="100"/>
            </w:tcMar>
          </w:tcPr>
          <w:p>
            <w:pPr>
              <w:spacing w:before="60" w:after="60"/>
              <w:jc w:val="left"/>
            </w:pPr>
            <w:r>
              <w:rPr>
                <w:rFonts w:ascii="Arial" w:cs="Arial" w:eastAsia="Arial" w:hAnsi="Arial"/>
                <w:b w:val="false"/>
                <w:bCs w:val="false"/>
                <w:i/>
                <w:iCs/>
                <w:color w:val="000000"/>
                <w:sz w:val="20"/>
                <w:szCs w:val="20"/>
              </w:rPr>
              <w:t xml:space="preserve">Tier 2 in FCC does not require extra time. It requires redirecting attention. If a child needs more language exposure, every diapering, every mealtime, every outdoor moment becomes a targeted language session. You do not need to stop what you are doing. You need to do what you are doing with more intentional focus on that child.</w:t>
            </w:r>
          </w:p>
        </w:tc>
      </w:tr>
    </w:tbl>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Tier 3 in FCC: When to Refer</w:t>
      </w:r>
    </w:p>
    <w:p>
      <w:pPr>
        <w:spacing w:before="60" w:after="60"/>
        <w:jc w:val="left"/>
      </w:pPr>
      <w:r>
        <w:rPr>
          <w:rFonts w:ascii="Arial" w:cs="Arial" w:eastAsia="Arial" w:hAnsi="Arial"/>
          <w:b w:val="false"/>
          <w:bCs w:val="false"/>
          <w:i w:val="false"/>
          <w:iCs w:val="false"/>
          <w:color w:val="000000"/>
          <w:sz w:val="22"/>
          <w:szCs w:val="22"/>
        </w:rPr>
        <w:t xml:space="preserve">The referral thresholds and processes described in Section 4 of this guide apply fully in the FCC setting. FCC providers are often the first professional to identify a developmental concern, and this is one of the most important roles a family child care provider plays. Key referral pathways for FCC providers include: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Early Intervention (Part C, IDEA): for children under three with a developmental concern, contact your state's Early Intervention program. Services can be provided in the FCC home.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Preschool special education (Part B, IDEA): for children three and older, contact the local school district's special education department.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Local Child Care Resource and Referral Agency: your local CCR&amp;R can connect you with developmental screenings, consultation, and referral resources.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Your child's family: always involve the family in any developmental concern. Document your observations, share them warmly and specifically, and collaborate on next steps.</w:t>
      </w:r>
    </w:p>
    <w:p>
      <w:pPr>
        <w:spacing w:before="60" w:after="80"/>
        <w:jc w:val="left"/>
      </w:pPr>
      <w:r>
        <w:rPr>
          <w:rFonts w:ascii="Arial" w:cs="Arial" w:eastAsia="Arial" w:hAnsi="Arial"/>
          <w:b w:val="false"/>
          <w:bCs w:val="false"/>
          <w:i w:val="false"/>
          <w:iCs w:val="false"/>
          <w:color w:val="000000"/>
          <w:sz w:val="22"/>
          <w:szCs w:val="22"/>
        </w:rPr>
        <w:t xml:space="preserve"> </w:t>
      </w:r>
    </w:p>
    <w:p>
      <w:pPr>
        <w:pStyle w:val="Heading1"/>
      </w:pPr>
      <w:r>
        <w:rPr>
          <w:rFonts w:ascii="Arial" w:cs="Arial" w:eastAsia="Arial" w:hAnsi="Arial"/>
        </w:rPr>
        <w:t xml:space="preserve">FCC Section C: Documentation for QRIS in a Home-Based Setting</w:t>
      </w:r>
    </w:p>
    <w:p>
      <w:pPr>
        <w:spacing w:before="80" w:after="80"/>
        <w:jc w:val="left"/>
      </w:pPr>
      <w:r>
        <w:rPr>
          <w:rFonts w:ascii="Arial" w:cs="Arial" w:eastAsia="Arial" w:hAnsi="Arial"/>
          <w:b w:val="false"/>
          <w:bCs w:val="false"/>
          <w:i w:val="false"/>
          <w:iCs w:val="false"/>
          <w:color w:val="000000"/>
          <w:sz w:val="22"/>
          <w:szCs w:val="22"/>
        </w:rPr>
        <w:t xml:space="preserve">QRIS documentation requirements vary by state and rating level, but the core expectation for documentation of differentiation and individualization is consistent: evidence that you know each child's developmental level and that your planning responds to it. In a family child care home, the following re:Bloom documents constitute this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420"/>
      </w:tblGrid>
      <w:tr>
        <w:tc>
          <w:tcPr>
            <w:tcW w:type="dxa" w:w="234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QRIS Requirement</w:t>
            </w:r>
          </w:p>
        </w:tc>
        <w:tc>
          <w:tcPr>
            <w:tcW w:type="dxa" w:w="360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Re:Bloom FCC Evidence</w:t>
            </w:r>
          </w:p>
        </w:tc>
        <w:tc>
          <w:tcPr>
            <w:tcW w:type="dxa" w:w="342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Where to Find It</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Written curriculum plan</w:t>
            </w:r>
          </w:p>
        </w:tc>
        <w:tc>
          <w:tcPr>
            <w:tcW w:type="dxa" w:w="3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FCC Monthly Planning Guide with domain coverage mapped across four weeks</w:t>
            </w:r>
          </w:p>
        </w:tc>
        <w:tc>
          <w:tcPr>
            <w:tcW w:type="dxa" w:w="342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Downloaded from subscriber portal</w:t>
            </w:r>
          </w:p>
        </w:tc>
      </w:tr>
      <w:tr>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Developmental assessment records</w:t>
            </w:r>
          </w:p>
        </w:tc>
        <w:tc>
          <w:tcPr>
            <w:tcW w:type="dxa" w:w="36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Child Assessment Tool completed three times per year per child</w:t>
            </w:r>
          </w:p>
        </w:tc>
        <w:tc>
          <w:tcPr>
            <w:tcW w:type="dxa" w:w="342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Generated in the subscriber portal assessment tool</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Evidence of individualization</w:t>
            </w:r>
          </w:p>
        </w:tc>
        <w:tc>
          <w:tcPr>
            <w:tcW w:type="dxa" w:w="3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AI Lesson Plan Generator outputs show differentiation by age band per activity</w:t>
            </w:r>
          </w:p>
        </w:tc>
        <w:tc>
          <w:tcPr>
            <w:tcW w:type="dxa" w:w="342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Downloaded weekly plans filed by date</w:t>
            </w:r>
          </w:p>
        </w:tc>
      </w:tr>
      <w:tr>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Observation/anecdotal records</w:t>
            </w:r>
          </w:p>
        </w:tc>
        <w:tc>
          <w:tcPr>
            <w:tcW w:type="dxa" w:w="36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Brief written notes filed by domain code and child</w:t>
            </w:r>
          </w:p>
        </w:tc>
        <w:tc>
          <w:tcPr>
            <w:tcW w:type="dxa" w:w="342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Educator-maintained portfolio folders per child</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Family communication records</w:t>
            </w:r>
          </w:p>
        </w:tc>
        <w:tc>
          <w:tcPr>
            <w:tcW w:type="dxa" w:w="3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Daily written notes for infants and toddlers; family handouts from lesson plans</w:t>
            </w:r>
          </w:p>
        </w:tc>
        <w:tc>
          <w:tcPr>
            <w:tcW w:type="dxa" w:w="342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Generated with each lesson plan; filed per child</w:t>
            </w:r>
          </w:p>
        </w:tc>
      </w:tr>
      <w:tr>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Environment quality evidence</w:t>
            </w:r>
          </w:p>
        </w:tc>
        <w:tc>
          <w:tcPr>
            <w:tcW w:type="dxa" w:w="36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Photographs of home learning environment with annotations</w:t>
            </w:r>
          </w:p>
        </w:tc>
        <w:tc>
          <w:tcPr>
            <w:tcW w:type="dxa" w:w="342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Educator-maintained documentation file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CDC" w:sz="4" w:space="1"/>
      </w:pBdr>
      <w:tabs>
        <w:tab w:val="right" w:pos="9360"/>
      </w:tabs>
      <w:spacing w:before="40" w:after="0"/>
    </w:pPr>
    <w:r>
      <w:rPr>
        <w:rFonts w:ascii="Arial" w:cs="Arial" w:eastAsia="Arial" w:hAnsi="Arial"/>
        <w:b w:val="false"/>
        <w:bCs w:val="false"/>
        <w:i w:val="false"/>
        <w:iCs w:val="false"/>
        <w:color w:val="2A6B6B"/>
        <w:sz w:val="16"/>
        <w:szCs w:val="16"/>
      </w:rPr>
      <w:t xml:space="preserve">re:Bloom Digital Curriculum  |  rebloomcurriculum.com</w:t>
    </w:r>
    <w:r>
      <w:rPr>
        <w:rFonts w:ascii="Arial" w:cs="Arial" w:eastAsia="Arial" w:hAnsi="Arial"/>
        <w:color w:val="2A6B6B"/>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1A3A3A"/>
              <w:sz w:val="18"/>
              <w:szCs w:val="18"/>
            </w:rPr>
            <w:t xml:space="preserve">re:Bloom Digital Curriculum</w:t>
          </w:r>
        </w:p>
      </w:tc>
      <w:tc>
        <w:tcPr>
          <w:tcW w:type="dxa" w:w="50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80"/>
            <w:jc w:val="right"/>
          </w:pPr>
          <w:r>
            <w:rPr>
              <w:rFonts w:ascii="Arial" w:cs="Arial" w:eastAsia="Arial" w:hAnsi="Arial"/>
              <w:b w:val="false"/>
              <w:bCs w:val="false"/>
              <w:i w:val="false"/>
              <w:iCs w:val="false"/>
              <w:color w:val="2A6B6B"/>
              <w:sz w:val="18"/>
              <w:szCs w:val="18"/>
            </w:rPr>
            <w:t xml:space="preserve">Differentiation and Support Guide</w:t>
          </w:r>
        </w:p>
      </w:tc>
    </w:tr>
  </w:tbl>
  <w:p>
    <w:pPr>
      <w:pBdr>
        <w:bottom w:val="single" w:color="C0DCDC" w:sz="4" w:space="1"/>
      </w:pBdr>
      <w:spacing w:before="40" w:after="0"/>
    </w:pPr>
    <w:r>
      <w:rPr>
        <w:rFonts w:ascii="Arial" w:cs="Arial" w:eastAsia="Arial" w:hAnsi="Arial"/>
        <w:b w:val="false"/>
        <w:bCs w:val="false"/>
        <w:i w:val="false"/>
        <w:iCs w:val="false"/>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3A"/>
      <w:sz w:val="34"/>
      <w:szCs w:val="34"/>
    </w:rPr>
  </w:style>
  <w:style w:type="paragraph" w:styleId="Heading2">
    <w:name w:val="Heading 2"/>
    <w:basedOn w:val="Normal"/>
    <w:next w:val="Normal"/>
    <w:qFormat/>
    <w:pPr>
      <w:spacing w:before="200" w:after="120"/>
      <w:outlineLvl w:val="1"/>
    </w:pPr>
    <w:rPr>
      <w:rFonts w:ascii="Arial" w:cs="Arial" w:eastAsia="Arial" w:hAnsi="Arial"/>
      <w:b/>
      <w:bCs/>
      <w:color w:val="2A6B6B"/>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2026-03-20T18:18:30.664Z</dcterms:created>
  <dcterms:modified xsi:type="dcterms:W3CDTF">2026-03-20T18:18:30.665Z</dcterms:modified>
</cp:coreProperties>
</file>

<file path=docProps/custom.xml><?xml version="1.0" encoding="utf-8"?>
<Properties xmlns="http://schemas.openxmlformats.org/officeDocument/2006/custom-properties" xmlns:vt="http://schemas.openxmlformats.org/officeDocument/2006/docPropsVTypes"/>
</file>