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Pr="002E7826"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846C68" w:rsidRPr="002E7826" w:rsidRDefault="00846C68" w:rsidP="00846C68">
      <w:pPr>
        <w:rPr>
          <w:sz w:val="24"/>
        </w:rPr>
      </w:pPr>
      <w:r w:rsidRPr="002E7826">
        <w:rPr>
          <w:sz w:val="24"/>
        </w:rPr>
        <w:t>El data set elegido contiene información relevante en la investigación del cáncer de pulmón en un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 xml:space="preserve">El </w:t>
      </w:r>
      <w:proofErr w:type="spellStart"/>
      <w:r w:rsidRPr="00952F92">
        <w:rPr>
          <w:b/>
          <w:sz w:val="24"/>
          <w:u w:val="single"/>
        </w:rPr>
        <w:t>dataset</w:t>
      </w:r>
      <w:proofErr w:type="spellEnd"/>
      <w:r w:rsidRPr="00952F92">
        <w:rPr>
          <w:b/>
          <w:sz w:val="24"/>
          <w:u w:val="single"/>
        </w:rPr>
        <w: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Nuestro data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83325F" w:rsidRPr="00B232AD" w:rsidRDefault="0083325F" w:rsidP="00B232AD">
      <w:pPr>
        <w:ind w:firstLine="708"/>
        <w:rPr>
          <w:sz w:val="24"/>
          <w:u w:val="single"/>
        </w:rPr>
      </w:pPr>
      <w:r w:rsidRPr="00B232AD">
        <w:rPr>
          <w:sz w:val="24"/>
          <w:u w:val="single"/>
        </w:rPr>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B232AD" w:rsidRDefault="00B232AD" w:rsidP="00846C68">
      <w:pPr>
        <w:rPr>
          <w:sz w:val="24"/>
        </w:rPr>
      </w:pPr>
      <w:r>
        <w:rPr>
          <w:sz w:val="24"/>
        </w:rPr>
        <w:t xml:space="preserve">Para trabajar con nuestra base de datos aplicaremos 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 xml:space="preserve">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w:t>
      </w:r>
      <w:r>
        <w:rPr>
          <w:sz w:val="24"/>
        </w:rPr>
        <w:lastRenderedPageBreak/>
        <w:t>como su similitud con los valores reales para así poder extraer un porcentaje de acierto del análisis.</w:t>
      </w:r>
    </w:p>
    <w:p w:rsidR="00CC0CE0" w:rsidRDefault="001F72EC" w:rsidP="00846C68">
      <w:pPr>
        <w:rPr>
          <w:sz w:val="24"/>
        </w:rPr>
      </w:pPr>
      <w:r>
        <w:rPr>
          <w:sz w:val="24"/>
        </w:rPr>
        <w:t xml:space="preserve">Es posible trabajar con este tipo de regresión puesto que tras un primer análisis o representación de las variables y su malignidad y benignidad nos hemos dado cuenta </w:t>
      </w:r>
      <w:proofErr w:type="gramStart"/>
      <w:r>
        <w:rPr>
          <w:sz w:val="24"/>
        </w:rPr>
        <w:t>que</w:t>
      </w:r>
      <w:proofErr w:type="gramEnd"/>
      <w:r>
        <w:rPr>
          <w:sz w:val="24"/>
        </w:rPr>
        <w:t xml:space="preserve"> dos a dos existía una correlación que se podría aproximar a lo lineal entre los variables analizadas y el diagnóstico obtenido.</w:t>
      </w:r>
    </w:p>
    <w:p w:rsidR="005D7CB9" w:rsidRDefault="005D7CB9" w:rsidP="00846C68">
      <w:pPr>
        <w:rPr>
          <w:sz w:val="24"/>
        </w:rPr>
      </w:pPr>
    </w:p>
    <w:p w:rsidR="005D7CB9"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proofErr w:type="gramStart"/>
      <w:r>
        <w:rPr>
          <w:sz w:val="24"/>
        </w:rPr>
        <w:t>ideal</w:t>
      </w:r>
      <w:proofErr w:type="gramEnd"/>
      <w:r>
        <w:rPr>
          <w:sz w:val="24"/>
        </w:rPr>
        <w:t xml:space="preserve"> pero en cierta medida favorable.</w:t>
      </w:r>
    </w:p>
    <w:p w:rsidR="005D7CB9" w:rsidRDefault="005D7CB9" w:rsidP="00846C68">
      <w:pPr>
        <w:rPr>
          <w:sz w:val="24"/>
        </w:rPr>
      </w:pPr>
    </w:p>
    <w:p w:rsidR="001F72EC" w:rsidRPr="005D7CB9" w:rsidRDefault="005D7CB9" w:rsidP="00846C68">
      <w:pPr>
        <w:rPr>
          <w:b/>
          <w:sz w:val="24"/>
        </w:rPr>
      </w:pPr>
      <w:r w:rsidRPr="005D7CB9">
        <w:rPr>
          <w:b/>
          <w:sz w:val="24"/>
        </w:rPr>
        <w:t>Regresión logística</w:t>
      </w:r>
      <w:r>
        <w:rPr>
          <w:b/>
          <w:sz w:val="24"/>
        </w:rPr>
        <w:t>:</w:t>
      </w: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 nos ceñiremos 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xml:space="preserve">). Números muy altos incrementan mucho el tiempo de entrenamiento y números </w:t>
      </w:r>
      <w:r>
        <w:rPr>
          <w:sz w:val="24"/>
        </w:rPr>
        <w:lastRenderedPageBreak/>
        <w:t xml:space="preserve">demasiado pequeños pueden ser causantes de </w:t>
      </w:r>
      <w:proofErr w:type="spellStart"/>
      <w:r>
        <w:rPr>
          <w:sz w:val="24"/>
        </w:rPr>
        <w:t>Underfitting</w:t>
      </w:r>
      <w:proofErr w:type="spellEnd"/>
      <w:r>
        <w:rPr>
          <w:sz w:val="24"/>
        </w:rPr>
        <w:t>,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A2EB9" w:rsidP="00846C68">
      <w:pPr>
        <w:rPr>
          <w:sz w:val="24"/>
        </w:rPr>
      </w:pPr>
      <w:r>
        <w:rPr>
          <w:sz w:val="24"/>
        </w:rPr>
        <w:t>En cuanto a la tasa de aprendizaje utilizaremos un valor ya utilizado en redes neuronales anteriores y que nos ha aportado buenos resultados, quedando el valor fijado a 1.</w:t>
      </w:r>
    </w:p>
    <w:p w:rsidR="004A2EB9" w:rsidRPr="00956BB4" w:rsidRDefault="00FB4E93" w:rsidP="00846C68">
      <w:pPr>
        <w:rPr>
          <w:sz w:val="24"/>
          <w:u w:val="single"/>
        </w:rPr>
      </w:pPr>
      <w:r w:rsidRPr="00956BB4">
        <w:rPr>
          <w:sz w:val="24"/>
          <w:u w:val="single"/>
        </w:rPr>
        <w:t>Implementación de la red Neuronal:</w:t>
      </w:r>
    </w:p>
    <w:p w:rsidR="00E66AA8" w:rsidRDefault="00FB4E93" w:rsidP="00846C68">
      <w:pPr>
        <w:rPr>
          <w:sz w:val="24"/>
        </w:rPr>
      </w:pPr>
      <w:r>
        <w:rPr>
          <w:sz w:val="24"/>
        </w:rPr>
        <w:t xml:space="preserve">Cuando pensamos en trabajar con una red neuronal </w:t>
      </w:r>
      <w:r w:rsidR="00E66AA8">
        <w:rPr>
          <w:sz w:val="24"/>
        </w:rPr>
        <w:t xml:space="preserve">pensamos principalmente en dos fases claramente diferenciadas. La fase de propagación o “Forward </w:t>
      </w:r>
      <w:proofErr w:type="spellStart"/>
      <w:r w:rsidR="00E66AA8">
        <w:rPr>
          <w:sz w:val="24"/>
        </w:rPr>
        <w:t>propagation</w:t>
      </w:r>
      <w:proofErr w:type="spellEnd"/>
      <w:r w:rsidR="00E66AA8">
        <w:rPr>
          <w:sz w:val="24"/>
        </w:rPr>
        <w:t xml:space="preserve">” y el cómputo de </w:t>
      </w:r>
      <w:proofErr w:type="spellStart"/>
      <w:r w:rsidR="00E66AA8">
        <w:rPr>
          <w:sz w:val="24"/>
        </w:rPr>
        <w:t>gradiete</w:t>
      </w:r>
      <w:proofErr w:type="spellEnd"/>
      <w:r w:rsidR="00E66AA8">
        <w:rPr>
          <w:sz w:val="24"/>
        </w:rPr>
        <w:t xml:space="preserve"> o </w:t>
      </w:r>
      <w:proofErr w:type="spellStart"/>
      <w:r w:rsidR="00E66AA8">
        <w:rPr>
          <w:sz w:val="24"/>
        </w:rPr>
        <w:t>Backpropagation</w:t>
      </w:r>
      <w:proofErr w:type="spellEnd"/>
      <w:r w:rsidR="00E66AA8">
        <w:rPr>
          <w:sz w:val="24"/>
        </w:rPr>
        <w:t>.</w:t>
      </w:r>
    </w:p>
    <w:p w:rsidR="003D18C2" w:rsidRDefault="003D18C2" w:rsidP="00846C68">
      <w:pPr>
        <w:rPr>
          <w:sz w:val="24"/>
        </w:rPr>
      </w:pPr>
    </w:p>
    <w:p w:rsidR="00E66AA8" w:rsidRDefault="00E66AA8" w:rsidP="00846C68">
      <w:pPr>
        <w:rPr>
          <w:sz w:val="24"/>
        </w:rPr>
      </w:pPr>
      <w:r>
        <w:rPr>
          <w:sz w:val="24"/>
        </w:rPr>
        <w:t xml:space="preserve">La fase de propagación hace referencia al recorrido de “izquierda a </w:t>
      </w:r>
      <w:proofErr w:type="gramStart"/>
      <w:r>
        <w:rPr>
          <w:sz w:val="24"/>
        </w:rPr>
        <w:t>derecha“</w:t>
      </w:r>
      <w:proofErr w:type="gramEnd"/>
      <w:r>
        <w:rPr>
          <w:sz w:val="24"/>
        </w:rPr>
        <w:t>,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 xml:space="preserve">La fase de </w:t>
      </w:r>
      <w:proofErr w:type="spellStart"/>
      <w:r>
        <w:rPr>
          <w:sz w:val="24"/>
        </w:rPr>
        <w:t>Backpropagation</w:t>
      </w:r>
      <w:proofErr w:type="spellEnd"/>
      <w:r>
        <w:rPr>
          <w:sz w:val="24"/>
        </w:rPr>
        <w:t xml:space="preserve"> es la siguiente </w:t>
      </w:r>
      <w:proofErr w:type="gramStart"/>
      <w:r>
        <w:rPr>
          <w:sz w:val="24"/>
        </w:rPr>
        <w:t>a</w:t>
      </w:r>
      <w:proofErr w:type="gramEnd"/>
      <w:r>
        <w:rPr>
          <w:sz w:val="24"/>
        </w:rPr>
        <w:t xml:space="preserve">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“aprenda”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que nos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3F1F72" w:rsidRDefault="003F1F72" w:rsidP="00846C68">
      <w:pPr>
        <w:rPr>
          <w:sz w:val="24"/>
        </w:rPr>
      </w:pPr>
      <w:r>
        <w:rPr>
          <w:sz w:val="24"/>
        </w:rPr>
        <w:lastRenderedPageBreak/>
        <w:t>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será equivalente a la utilizada en redes previas y que será de valor 1.</w:t>
      </w:r>
    </w:p>
    <w:p w:rsidR="00AA2985" w:rsidRDefault="00AA2985" w:rsidP="00846C68">
      <w:pPr>
        <w:rPr>
          <w:sz w:val="24"/>
        </w:rPr>
      </w:pPr>
    </w:p>
    <w:p w:rsidR="00AA2985" w:rsidRDefault="00AA2985" w:rsidP="00846C68">
      <w:pPr>
        <w:rPr>
          <w:sz w:val="24"/>
        </w:rPr>
      </w:pPr>
      <w:r>
        <w:rPr>
          <w:sz w:val="24"/>
        </w:rPr>
        <w:t>Trabajaremos por tanto con una red neuronal de 30 neuronas para la entrada</w:t>
      </w:r>
      <w:r w:rsidR="00B5771E">
        <w:rPr>
          <w:sz w:val="24"/>
        </w:rPr>
        <w:t xml:space="preserve"> </w:t>
      </w:r>
      <w:bookmarkStart w:id="0" w:name="_GoBack"/>
      <w:bookmarkEnd w:id="0"/>
      <w:r>
        <w:rPr>
          <w:sz w:val="24"/>
        </w:rPr>
        <w:t xml:space="preserve">(que se corresponde con el número de variables </w:t>
      </w:r>
      <w:proofErr w:type="gramStart"/>
      <w:r>
        <w:rPr>
          <w:sz w:val="24"/>
        </w:rPr>
        <w:t>a</w:t>
      </w:r>
      <w:proofErr w:type="gramEnd"/>
      <w:r>
        <w:rPr>
          <w:sz w:val="24"/>
        </w:rPr>
        <w:t xml:space="preserve"> tener en cuenta), con dos neuronas a la salida (que se corresponde con los resultados posibles, maligno o benigno) y con 8 neuronas en nuestra única capa oculta, siguiendo la regla de la pirámide.</w:t>
      </w:r>
    </w:p>
    <w:p w:rsidR="00AA2985" w:rsidRPr="0049462F"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perdiciones de nuestra red y el resultado lo hemos comparado con los resultados reales. El porcentaje de acierto para una tasa de aprendizaje de 1 ronda en torno al 93%, que se corresponde con un resultado más favorable y preciso que el obtenido en algoritmos como el de descenso de gradiente y que nos harían pensar en el uso de una red neuronal como la programada para estudios como el que estamos llevando antes de cualquiera de los otros algoritmos utilizados.  </w:t>
      </w:r>
    </w:p>
    <w:sectPr w:rsidR="00AA2985" w:rsidRPr="004946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F6051"/>
    <w:rsid w:val="001F72EC"/>
    <w:rsid w:val="00222565"/>
    <w:rsid w:val="00226F1C"/>
    <w:rsid w:val="002E7826"/>
    <w:rsid w:val="002F7EE1"/>
    <w:rsid w:val="003731BD"/>
    <w:rsid w:val="003D18C2"/>
    <w:rsid w:val="003F1F72"/>
    <w:rsid w:val="0049462F"/>
    <w:rsid w:val="0049679F"/>
    <w:rsid w:val="004A2EB9"/>
    <w:rsid w:val="005C28F8"/>
    <w:rsid w:val="005D7CB9"/>
    <w:rsid w:val="0060148C"/>
    <w:rsid w:val="006C131F"/>
    <w:rsid w:val="00731F4B"/>
    <w:rsid w:val="00734641"/>
    <w:rsid w:val="008301F2"/>
    <w:rsid w:val="0083325F"/>
    <w:rsid w:val="00846C68"/>
    <w:rsid w:val="00952F92"/>
    <w:rsid w:val="00956BB4"/>
    <w:rsid w:val="009E6CE4"/>
    <w:rsid w:val="00AA2985"/>
    <w:rsid w:val="00B232AD"/>
    <w:rsid w:val="00B5771E"/>
    <w:rsid w:val="00CC0CE0"/>
    <w:rsid w:val="00DF013B"/>
    <w:rsid w:val="00E66AA8"/>
    <w:rsid w:val="00EF63B2"/>
    <w:rsid w:val="00F40CA8"/>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1A67"/>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D236E-3809-4BEB-A985-84AA1AA9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1676</Words>
  <Characters>9219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12</cp:revision>
  <dcterms:created xsi:type="dcterms:W3CDTF">2020-01-13T11:10:00Z</dcterms:created>
  <dcterms:modified xsi:type="dcterms:W3CDTF">2020-01-15T10:01:00Z</dcterms:modified>
</cp:coreProperties>
</file>