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3" w:type="dxa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247"/>
        <w:gridCol w:w="5386"/>
      </w:tblGrid>
      <w:tr w:rsidR="00785648" w:rsidRPr="00B75473" w14:paraId="581F08EB" w14:textId="77777777" w:rsidTr="00E9555D">
        <w:trPr>
          <w:trHeight w:val="20"/>
        </w:trPr>
        <w:tc>
          <w:tcPr>
            <w:tcW w:w="4247" w:type="dxa"/>
            <w:tcBorders>
              <w:bottom w:val="double" w:sz="4" w:space="0" w:color="000000"/>
            </w:tcBorders>
            <w:shd w:val="clear" w:color="auto" w:fill="BFBFBF" w:themeFill="background1" w:themeFillShade="BF"/>
          </w:tcPr>
          <w:p w14:paraId="1ED6929A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</w:p>
        </w:tc>
        <w:tc>
          <w:tcPr>
            <w:tcW w:w="5386" w:type="dxa"/>
            <w:tcBorders>
              <w:bottom w:val="double" w:sz="4" w:space="0" w:color="000000"/>
            </w:tcBorders>
            <w:shd w:val="clear" w:color="auto" w:fill="BFBFBF" w:themeFill="background1" w:themeFillShade="BF"/>
          </w:tcPr>
          <w:p w14:paraId="28C2E6DA" w14:textId="77777777" w:rsidR="00785648" w:rsidRPr="00B75473" w:rsidRDefault="00785648" w:rsidP="00D72039">
            <w:pPr>
              <w:pStyle w:val="Tight"/>
              <w:rPr>
                <w:b/>
                <w:bCs/>
                <w:sz w:val="20"/>
                <w:szCs w:val="18"/>
              </w:rPr>
            </w:pPr>
            <w:r w:rsidRPr="00B75473">
              <w:rPr>
                <w:b/>
                <w:bCs/>
                <w:sz w:val="20"/>
                <w:szCs w:val="18"/>
              </w:rPr>
              <w:t>Reasoning</w:t>
            </w:r>
          </w:p>
        </w:tc>
      </w:tr>
      <w:tr w:rsidR="00785648" w:rsidRPr="00B75473" w14:paraId="34D45767" w14:textId="77777777" w:rsidTr="00E9555D">
        <w:trPr>
          <w:trHeight w:val="20"/>
        </w:trPr>
        <w:tc>
          <w:tcPr>
            <w:tcW w:w="4247" w:type="dxa"/>
            <w:tcBorders>
              <w:bottom w:val="double" w:sz="4" w:space="0" w:color="000000"/>
            </w:tcBorders>
            <w:shd w:val="clear" w:color="auto" w:fill="BFBFBF" w:themeFill="background1" w:themeFillShade="BF"/>
          </w:tcPr>
          <w:p w14:paraId="39A60367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CULTURE, GEOSCIENCES</w:t>
            </w:r>
          </w:p>
        </w:tc>
        <w:tc>
          <w:tcPr>
            <w:tcW w:w="5386" w:type="dxa"/>
            <w:tcBorders>
              <w:bottom w:val="double" w:sz="4" w:space="0" w:color="000000"/>
            </w:tcBorders>
            <w:shd w:val="clear" w:color="auto" w:fill="BFBFBF" w:themeFill="background1" w:themeFillShade="BF"/>
          </w:tcPr>
          <w:p w14:paraId="30DD4CB4" w14:textId="77777777" w:rsidR="00785648" w:rsidRPr="00B75473" w:rsidRDefault="00785648" w:rsidP="00D72039">
            <w:pPr>
              <w:pStyle w:val="Tight"/>
              <w:rPr>
                <w:b/>
                <w:bCs/>
                <w:sz w:val="20"/>
                <w:szCs w:val="18"/>
              </w:rPr>
            </w:pPr>
          </w:p>
        </w:tc>
      </w:tr>
      <w:tr w:rsidR="00785648" w:rsidRPr="00B75473" w14:paraId="2E0EDF46" w14:textId="77777777" w:rsidTr="00E9555D">
        <w:trPr>
          <w:trHeight w:val="2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E53B" w14:textId="77777777" w:rsidR="00785648" w:rsidRPr="00326B1C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Integrate fracture simulation into a comprehensive multidisciplinary workflow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E7F7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Incorporate geoscientific understanding into a numerical framework. Eventually, numerical models must enhance the geologic understanding of the field.</w:t>
            </w:r>
          </w:p>
        </w:tc>
      </w:tr>
      <w:tr w:rsidR="00785648" w:rsidRPr="00B75473" w14:paraId="58D223E4" w14:textId="77777777" w:rsidTr="00E9555D">
        <w:trPr>
          <w:trHeight w:val="2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5387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Shifting to a new fracture modeling culture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2660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 w:rsidRPr="00887ADB">
              <w:rPr>
                <w:sz w:val="20"/>
                <w:szCs w:val="18"/>
              </w:rPr>
              <w:t xml:space="preserve">Subsurface technicians have been extensively trained in dual porosity approaches for a long time, and the transition to EDFM modeling </w:t>
            </w:r>
            <w:r>
              <w:rPr>
                <w:sz w:val="20"/>
                <w:szCs w:val="18"/>
              </w:rPr>
              <w:t>is not</w:t>
            </w:r>
            <w:r w:rsidRPr="00887ADB">
              <w:rPr>
                <w:sz w:val="20"/>
                <w:szCs w:val="18"/>
              </w:rPr>
              <w:t xml:space="preserve"> immediate</w:t>
            </w:r>
            <w:r>
              <w:rPr>
                <w:sz w:val="20"/>
                <w:szCs w:val="18"/>
              </w:rPr>
              <w:t xml:space="preserve">. </w:t>
            </w:r>
            <w:r w:rsidRPr="002F2E0E">
              <w:rPr>
                <w:sz w:val="20"/>
                <w:szCs w:val="18"/>
              </w:rPr>
              <w:t xml:space="preserve">Additionally, existing tools </w:t>
            </w:r>
            <w:r>
              <w:rPr>
                <w:sz w:val="20"/>
                <w:szCs w:val="18"/>
              </w:rPr>
              <w:t xml:space="preserve">must be enhanced </w:t>
            </w:r>
            <w:r w:rsidRPr="002F2E0E">
              <w:rPr>
                <w:sz w:val="20"/>
                <w:szCs w:val="18"/>
              </w:rPr>
              <w:t xml:space="preserve">to support EDFM </w:t>
            </w:r>
            <w:r>
              <w:rPr>
                <w:sz w:val="20"/>
                <w:szCs w:val="18"/>
              </w:rPr>
              <w:t>pre- and post-processing for field-scale applications.</w:t>
            </w:r>
          </w:p>
        </w:tc>
      </w:tr>
      <w:tr w:rsidR="00785648" w:rsidRPr="00B75473" w14:paraId="55EB1732" w14:textId="77777777" w:rsidTr="00E9555D">
        <w:trPr>
          <w:trHeight w:val="20"/>
        </w:trPr>
        <w:tc>
          <w:tcPr>
            <w:tcW w:w="4247" w:type="dxa"/>
            <w:tcBorders>
              <w:top w:val="doub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14:paraId="10B7B4C7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WORKFLOW AND SOFTWARE</w:t>
            </w:r>
          </w:p>
        </w:tc>
        <w:tc>
          <w:tcPr>
            <w:tcW w:w="5386" w:type="dxa"/>
            <w:tcBorders>
              <w:top w:val="doub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14:paraId="729EECB0" w14:textId="77777777" w:rsidR="00785648" w:rsidRPr="00887ADB" w:rsidRDefault="00785648" w:rsidP="00D72039">
            <w:pPr>
              <w:pStyle w:val="Tight"/>
              <w:rPr>
                <w:sz w:val="20"/>
                <w:szCs w:val="18"/>
              </w:rPr>
            </w:pPr>
          </w:p>
        </w:tc>
      </w:tr>
      <w:tr w:rsidR="00785648" w:rsidRPr="00B75473" w14:paraId="2806A4D0" w14:textId="77777777" w:rsidTr="00E9555D">
        <w:trPr>
          <w:trHeight w:val="20"/>
        </w:trPr>
        <w:tc>
          <w:tcPr>
            <w:tcW w:w="4247" w:type="dxa"/>
          </w:tcPr>
          <w:p w14:paraId="36E5AB5C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Integrate framework for fractured media visualization </w:t>
            </w:r>
          </w:p>
        </w:tc>
        <w:tc>
          <w:tcPr>
            <w:tcW w:w="5386" w:type="dxa"/>
          </w:tcPr>
          <w:p w14:paraId="23EBCC3A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Lack of an integrated post-processing tool to deal with a matrix-fracture flow visualization in a comprehensive way to be used by geoscientists and engineers.</w:t>
            </w:r>
          </w:p>
        </w:tc>
      </w:tr>
      <w:tr w:rsidR="00785648" w:rsidRPr="00B75473" w14:paraId="7266C079" w14:textId="77777777" w:rsidTr="00E9555D">
        <w:trPr>
          <w:trHeight w:val="20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21ED8DF1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Fracture network modeling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316B09E1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Deterministic and stochastic approaches and main inputs from outcrops, cores, image logs, seismic, and field measurements</w:t>
            </w:r>
          </w:p>
        </w:tc>
      </w:tr>
      <w:tr w:rsidR="00785648" w:rsidRPr="00B75473" w14:paraId="68E1809E" w14:textId="77777777" w:rsidTr="00E9555D">
        <w:trPr>
          <w:trHeight w:val="20"/>
        </w:trPr>
        <w:tc>
          <w:tcPr>
            <w:tcW w:w="4247" w:type="dxa"/>
          </w:tcPr>
          <w:p w14:paraId="6AF2C396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Derive DFN transmissibility from field data</w:t>
            </w:r>
          </w:p>
        </w:tc>
        <w:tc>
          <w:tcPr>
            <w:tcW w:w="5386" w:type="dxa"/>
          </w:tcPr>
          <w:p w14:paraId="7E464567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Aperture is not strongly correlated to transmissibility in NFR. The DFN contribution to flow must be derived from field data.</w:t>
            </w:r>
          </w:p>
        </w:tc>
      </w:tr>
      <w:tr w:rsidR="00785648" w:rsidRPr="00B75473" w14:paraId="74646098" w14:textId="77777777" w:rsidTr="00E9555D">
        <w:trPr>
          <w:trHeight w:val="20"/>
        </w:trPr>
        <w:tc>
          <w:tcPr>
            <w:tcW w:w="4247" w:type="dxa"/>
          </w:tcPr>
          <w:p w14:paraId="2E102583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DFN-aware optimization workflows</w:t>
            </w:r>
          </w:p>
        </w:tc>
        <w:tc>
          <w:tcPr>
            <w:tcW w:w="5386" w:type="dxa"/>
          </w:tcPr>
          <w:p w14:paraId="3C7BCC96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History matching and uncertainty assessment using DFN parameters are not consolidated</w:t>
            </w:r>
          </w:p>
        </w:tc>
      </w:tr>
      <w:tr w:rsidR="00785648" w:rsidRPr="00B75473" w14:paraId="715B0AAD" w14:textId="77777777" w:rsidTr="00E9555D">
        <w:trPr>
          <w:trHeight w:val="20"/>
        </w:trPr>
        <w:tc>
          <w:tcPr>
            <w:tcW w:w="4247" w:type="dxa"/>
            <w:shd w:val="clear" w:color="auto" w:fill="BFBFBF" w:themeFill="background1" w:themeFillShade="BF"/>
          </w:tcPr>
          <w:p w14:paraId="49DA99B5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UPSCALING, MULTIPHASE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47A392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</w:p>
        </w:tc>
      </w:tr>
      <w:tr w:rsidR="00785648" w:rsidRPr="00B75473" w14:paraId="460D4FFB" w14:textId="77777777" w:rsidTr="00E9555D">
        <w:trPr>
          <w:trHeight w:val="20"/>
        </w:trPr>
        <w:tc>
          <w:tcPr>
            <w:tcW w:w="4247" w:type="dxa"/>
            <w:tcBorders>
              <w:top w:val="single" w:sz="4" w:space="0" w:color="auto"/>
            </w:tcBorders>
          </w:tcPr>
          <w:p w14:paraId="4CB58B9A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Upscaling of fracture networks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6BB97D6B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Need to understand the impact of reducing the DFN into as few equivalent numerical features as possible</w:t>
            </w:r>
          </w:p>
        </w:tc>
      </w:tr>
      <w:tr w:rsidR="00785648" w:rsidRPr="00B75473" w14:paraId="15D015D3" w14:textId="77777777" w:rsidTr="00E9555D">
        <w:trPr>
          <w:trHeight w:val="20"/>
        </w:trPr>
        <w:tc>
          <w:tcPr>
            <w:tcW w:w="4247" w:type="dxa"/>
            <w:shd w:val="clear" w:color="auto" w:fill="BFBFBF" w:themeFill="background1" w:themeFillShade="BF"/>
          </w:tcPr>
          <w:p w14:paraId="06354C52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PROPAGATION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45BD9A2A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</w:p>
        </w:tc>
      </w:tr>
      <w:tr w:rsidR="00785648" w:rsidRPr="00B75473" w14:paraId="52D2E3A4" w14:textId="77777777" w:rsidTr="00E9555D">
        <w:trPr>
          <w:trHeight w:val="20"/>
        </w:trPr>
        <w:tc>
          <w:tcPr>
            <w:tcW w:w="4247" w:type="dxa"/>
          </w:tcPr>
          <w:p w14:paraId="6AE20DF3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Time-dependent fracture dynamics</w:t>
            </w:r>
          </w:p>
        </w:tc>
        <w:tc>
          <w:tcPr>
            <w:tcW w:w="5386" w:type="dxa"/>
          </w:tcPr>
          <w:p w14:paraId="7D3E1C5C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Missing criteria for transmissibility updates for modeling fracture initialization and propagation</w:t>
            </w:r>
          </w:p>
        </w:tc>
      </w:tr>
      <w:tr w:rsidR="00785648" w:rsidRPr="00B75473" w14:paraId="0DCC411B" w14:textId="77777777" w:rsidTr="00E9555D">
        <w:trPr>
          <w:trHeight w:val="20"/>
        </w:trPr>
        <w:tc>
          <w:tcPr>
            <w:tcW w:w="4247" w:type="dxa"/>
          </w:tcPr>
          <w:p w14:paraId="7F73EBE8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Propagation of non-planar fractures</w:t>
            </w:r>
          </w:p>
        </w:tc>
        <w:tc>
          <w:tcPr>
            <w:tcW w:w="5386" w:type="dxa"/>
          </w:tcPr>
          <w:p w14:paraId="1D2E219D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Temperature and reactive transport result in complex fracture geometry</w:t>
            </w:r>
          </w:p>
        </w:tc>
      </w:tr>
      <w:tr w:rsidR="00785648" w:rsidRPr="00B75473" w14:paraId="31A9C330" w14:textId="77777777" w:rsidTr="00E9555D">
        <w:trPr>
          <w:trHeight w:val="20"/>
        </w:trPr>
        <w:tc>
          <w:tcPr>
            <w:tcW w:w="4247" w:type="dxa"/>
            <w:shd w:val="clear" w:color="auto" w:fill="BFBFBF" w:themeFill="background1" w:themeFillShade="BF"/>
          </w:tcPr>
          <w:p w14:paraId="6FEA5DB5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BENCHMARKS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0D19CBBD" w14:textId="77777777" w:rsidR="00785648" w:rsidRDefault="00785648" w:rsidP="00D72039">
            <w:pPr>
              <w:pStyle w:val="Tight"/>
              <w:rPr>
                <w:sz w:val="20"/>
                <w:szCs w:val="18"/>
              </w:rPr>
            </w:pPr>
          </w:p>
        </w:tc>
      </w:tr>
      <w:tr w:rsidR="00E9555D" w:rsidRPr="00B75473" w14:paraId="41FC56F4" w14:textId="77777777" w:rsidTr="00E9555D">
        <w:trPr>
          <w:trHeight w:val="20"/>
        </w:trPr>
        <w:tc>
          <w:tcPr>
            <w:tcW w:w="4247" w:type="dxa"/>
          </w:tcPr>
          <w:p w14:paraId="2212C473" w14:textId="77777777" w:rsidR="00E9555D" w:rsidRPr="00B75473" w:rsidRDefault="00E9555D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Parameterization of the multiphase flow through the DFN</w:t>
            </w:r>
          </w:p>
        </w:tc>
        <w:tc>
          <w:tcPr>
            <w:tcW w:w="5386" w:type="dxa"/>
          </w:tcPr>
          <w:p w14:paraId="45073EAD" w14:textId="77777777" w:rsidR="00E9555D" w:rsidRPr="00B75473" w:rsidRDefault="00E9555D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Most investigation considers only single-phase, ignoring capillary pressure and imbibition phenomena in the fractures</w:t>
            </w:r>
          </w:p>
        </w:tc>
      </w:tr>
      <w:tr w:rsidR="00785648" w:rsidRPr="00B75473" w14:paraId="3A9A4803" w14:textId="77777777" w:rsidTr="00E9555D">
        <w:trPr>
          <w:trHeight w:val="20"/>
        </w:trPr>
        <w:tc>
          <w:tcPr>
            <w:tcW w:w="4247" w:type="dxa"/>
          </w:tcPr>
          <w:p w14:paraId="58B1E4BF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Geologically consistent public benchmarks</w:t>
            </w:r>
          </w:p>
        </w:tc>
        <w:tc>
          <w:tcPr>
            <w:tcW w:w="5386" w:type="dxa"/>
          </w:tcPr>
          <w:p w14:paraId="3BA16B33" w14:textId="77777777" w:rsidR="00785648" w:rsidRPr="00B75473" w:rsidRDefault="00785648" w:rsidP="00D72039">
            <w:pPr>
              <w:pStyle w:val="T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There are no benchmark models  to compare and investigate the accuracy and efficiency of numerical flow algorithms</w:t>
            </w:r>
          </w:p>
        </w:tc>
      </w:tr>
    </w:tbl>
    <w:p w14:paraId="1A167695" w14:textId="77777777" w:rsidR="006C6A2E" w:rsidRDefault="006C6A2E"/>
    <w:sectPr w:rsidR="006C6A2E" w:rsidSect="003C4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48"/>
    <w:rsid w:val="003C4A99"/>
    <w:rsid w:val="006C6A2E"/>
    <w:rsid w:val="00785648"/>
    <w:rsid w:val="00E4364E"/>
    <w:rsid w:val="00E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D7A8A"/>
  <w15:chartTrackingRefBased/>
  <w15:docId w15:val="{6F4C975E-69AC-4CFC-8541-434AE1FA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648"/>
    <w:pPr>
      <w:widowControl w:val="0"/>
      <w:autoSpaceDE w:val="0"/>
      <w:autoSpaceDN w:val="0"/>
      <w:spacing w:before="120" w:after="0" w:line="360" w:lineRule="auto"/>
      <w:jc w:val="both"/>
    </w:pPr>
    <w:rPr>
      <w:rFonts w:ascii="Arial" w:eastAsia="Times New Roman" w:hAnsi="Arial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648"/>
    <w:pPr>
      <w:keepNext/>
      <w:keepLines/>
      <w:widowControl/>
      <w:autoSpaceDE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48"/>
    <w:pPr>
      <w:keepNext/>
      <w:keepLines/>
      <w:widowControl/>
      <w:autoSpaceDE/>
      <w:autoSpaceDN/>
      <w:spacing w:before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48"/>
    <w:pPr>
      <w:widowControl/>
      <w:autoSpaceDE/>
      <w:autoSpaceDN/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48"/>
    <w:pPr>
      <w:widowControl/>
      <w:numPr>
        <w:ilvl w:val="1"/>
      </w:numPr>
      <w:autoSpaceDE/>
      <w:autoSpaceDN/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48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5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48"/>
    <w:pPr>
      <w:widowControl/>
      <w:autoSpaceDE/>
      <w:autoSpaceDN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5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4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48"/>
    <w:rPr>
      <w:b/>
      <w:bCs/>
      <w:smallCaps/>
      <w:color w:val="2F5496" w:themeColor="accent1" w:themeShade="BF"/>
      <w:spacing w:val="5"/>
    </w:rPr>
  </w:style>
  <w:style w:type="paragraph" w:customStyle="1" w:styleId="Tight">
    <w:name w:val="Tight"/>
    <w:basedOn w:val="Normal"/>
    <w:qFormat/>
    <w:rsid w:val="00785648"/>
    <w:pPr>
      <w:spacing w:before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1729</Characters>
  <Application>Microsoft Office Word</Application>
  <DocSecurity>0</DocSecurity>
  <Lines>27</Lines>
  <Paragraphs>9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2</cp:revision>
  <dcterms:created xsi:type="dcterms:W3CDTF">2024-04-20T23:15:00Z</dcterms:created>
  <dcterms:modified xsi:type="dcterms:W3CDTF">2024-04-20T23:50:00Z</dcterms:modified>
</cp:coreProperties>
</file>