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AC7A" w14:textId="2253E182" w:rsidR="00850C88" w:rsidRDefault="00205824" w:rsidP="00205824">
      <w:pPr>
        <w:spacing w:after="0" w:line="240" w:lineRule="auto"/>
        <w:rPr>
          <w:b/>
          <w:bCs/>
        </w:rPr>
      </w:pPr>
      <w:r w:rsidRPr="00205824">
        <w:rPr>
          <w:b/>
          <w:bCs/>
        </w:rPr>
        <w:t xml:space="preserve">O impacto da continuidade capilar e da </w:t>
      </w:r>
      <w:proofErr w:type="spellStart"/>
      <w:r w:rsidRPr="00205824">
        <w:rPr>
          <w:b/>
          <w:bCs/>
        </w:rPr>
        <w:t>molhabilidade</w:t>
      </w:r>
      <w:proofErr w:type="spellEnd"/>
      <w:r w:rsidRPr="00205824">
        <w:rPr>
          <w:b/>
          <w:bCs/>
        </w:rPr>
        <w:t xml:space="preserve"> no fator de recuperação de reservatórios naturalmente fraturados de </w:t>
      </w:r>
      <w:proofErr w:type="spellStart"/>
      <w:r w:rsidRPr="00205824">
        <w:rPr>
          <w:b/>
          <w:bCs/>
        </w:rPr>
        <w:t>molhabilidade</w:t>
      </w:r>
      <w:proofErr w:type="spellEnd"/>
      <w:r w:rsidRPr="00205824">
        <w:rPr>
          <w:b/>
          <w:bCs/>
        </w:rPr>
        <w:t xml:space="preserve"> mista</w:t>
      </w:r>
    </w:p>
    <w:p w14:paraId="1BF0C2A1" w14:textId="77777777" w:rsidR="00B33DE0" w:rsidRDefault="00850C88" w:rsidP="00205824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Autores: </w:t>
      </w:r>
    </w:p>
    <w:p w14:paraId="792F70FF" w14:textId="37D1A07B" w:rsidR="00205824" w:rsidRPr="00205824" w:rsidRDefault="00205824" w:rsidP="00205824">
      <w:pPr>
        <w:spacing w:after="0" w:line="240" w:lineRule="auto"/>
        <w:rPr>
          <w:b/>
          <w:bCs/>
          <w:lang w:val="es-ES"/>
        </w:rPr>
      </w:pPr>
      <w:r w:rsidRPr="00205824">
        <w:rPr>
          <w:b/>
          <w:bCs/>
          <w:lang w:val="es-ES"/>
        </w:rPr>
        <w:t>Renato Poli</w:t>
      </w:r>
      <w:r>
        <w:rPr>
          <w:b/>
          <w:bCs/>
          <w:lang w:val="es-ES"/>
        </w:rPr>
        <w:t xml:space="preserve"> -</w:t>
      </w:r>
      <w:r w:rsidRPr="00205824">
        <w:rPr>
          <w:b/>
          <w:bCs/>
          <w:lang w:val="es-ES"/>
        </w:rPr>
        <w:t xml:space="preserve"> AGUP/RES-EE/CTNP/CT-GGER</w:t>
      </w:r>
    </w:p>
    <w:p w14:paraId="580F12DA" w14:textId="20CA6B94" w:rsidR="00205824" w:rsidRDefault="00205824" w:rsidP="00205824">
      <w:pPr>
        <w:spacing w:after="0" w:line="240" w:lineRule="auto"/>
        <w:rPr>
          <w:b/>
          <w:bCs/>
        </w:rPr>
      </w:pPr>
      <w:r w:rsidRPr="00205824">
        <w:rPr>
          <w:b/>
          <w:bCs/>
        </w:rPr>
        <w:t>Marcos Vitor Barbosa Machado</w:t>
      </w:r>
      <w:r>
        <w:rPr>
          <w:b/>
          <w:bCs/>
        </w:rPr>
        <w:t xml:space="preserve"> -</w:t>
      </w:r>
      <w:r w:rsidRPr="00205824">
        <w:rPr>
          <w:b/>
          <w:bCs/>
        </w:rPr>
        <w:t xml:space="preserve"> RES/TR/ER</w:t>
      </w:r>
    </w:p>
    <w:p w14:paraId="612B9B98" w14:textId="24638A9C" w:rsidR="00C51699" w:rsidRDefault="00C51699" w:rsidP="00205824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Tema relacionado: </w:t>
      </w:r>
    </w:p>
    <w:p w14:paraId="0329CA2E" w14:textId="656AE539" w:rsidR="00850C88" w:rsidRDefault="00205824" w:rsidP="00205824">
      <w:pPr>
        <w:spacing w:after="0" w:line="240" w:lineRule="auto"/>
      </w:pPr>
      <w:r w:rsidRPr="00205824">
        <w:t>Representatividade do reservatório</w:t>
      </w:r>
    </w:p>
    <w:p w14:paraId="1518635F" w14:textId="22D134FA" w:rsidR="00C51699" w:rsidRDefault="00C51699" w:rsidP="00205824">
      <w:pPr>
        <w:spacing w:before="240" w:after="0" w:line="240" w:lineRule="auto"/>
        <w:rPr>
          <w:b/>
          <w:bCs/>
        </w:rPr>
      </w:pPr>
      <w:r>
        <w:rPr>
          <w:b/>
          <w:bCs/>
        </w:rPr>
        <w:t xml:space="preserve">Sinopse: </w:t>
      </w:r>
    </w:p>
    <w:p w14:paraId="6F738F2A" w14:textId="77777777" w:rsidR="00205824" w:rsidRDefault="00205824" w:rsidP="00205824">
      <w:pPr>
        <w:spacing w:before="60" w:after="0" w:line="240" w:lineRule="auto"/>
        <w:ind w:firstLine="567"/>
        <w:jc w:val="both"/>
      </w:pPr>
      <w:r>
        <w:t xml:space="preserve">O trabalho destaca aspectos teóricos da caracterização dinâmica de sistemas fraturados, destacando o impacto da </w:t>
      </w:r>
      <w:proofErr w:type="spellStart"/>
      <w:r>
        <w:t>molhabilidade</w:t>
      </w:r>
      <w:proofErr w:type="spellEnd"/>
      <w:r>
        <w:t xml:space="preserve"> e continuidade capilar no fator de recuperação. Esses aspectos, que muitas vezes recebem pouca atenção das equipes, são apresentados no contexto de modelagem numérica e troca de escala. O objetivo é resgatar conceitos fundamentais da engenharia de reservatórios, com foco nos reservatórios carbonáticos naturalmente fraturados de </w:t>
      </w:r>
      <w:proofErr w:type="spellStart"/>
      <w:r>
        <w:t>molhabilidade</w:t>
      </w:r>
      <w:proofErr w:type="spellEnd"/>
      <w:r>
        <w:t xml:space="preserve"> mista, típicos do Polo </w:t>
      </w:r>
      <w:proofErr w:type="spellStart"/>
      <w:r>
        <w:t>Pré</w:t>
      </w:r>
      <w:proofErr w:type="spellEnd"/>
      <w:r>
        <w:t xml:space="preserve"> Sal da Bacia de Santos (PPSBS).</w:t>
      </w:r>
    </w:p>
    <w:p w14:paraId="3F4833AC" w14:textId="77777777" w:rsidR="00205824" w:rsidRDefault="00205824" w:rsidP="00205824">
      <w:pPr>
        <w:spacing w:before="60" w:after="0" w:line="240" w:lineRule="auto"/>
        <w:ind w:firstLine="567"/>
        <w:jc w:val="both"/>
      </w:pPr>
      <w:r>
        <w:t>O processo de drenagem de hidrocarbonetos em um meio naturalmente fraturado pode ser resumido como: (i) a rede de fraturas é saturada com fluido injetado ou com água do aquífero; (</w:t>
      </w:r>
      <w:proofErr w:type="spellStart"/>
      <w:r>
        <w:t>ii</w:t>
      </w:r>
      <w:proofErr w:type="spellEnd"/>
      <w:r>
        <w:t xml:space="preserve">) o hidrocarboneto presente na matriz da rocha é drenado para as fraturas por </w:t>
      </w:r>
      <w:proofErr w:type="spellStart"/>
      <w:r>
        <w:t>embebição</w:t>
      </w:r>
      <w:proofErr w:type="spellEnd"/>
      <w:r>
        <w:t xml:space="preserve"> espontânea, através de fluxos em contracorrente; e (</w:t>
      </w:r>
      <w:proofErr w:type="spellStart"/>
      <w:r>
        <w:t>iii</w:t>
      </w:r>
      <w:proofErr w:type="spellEnd"/>
      <w:r>
        <w:t xml:space="preserve">) efeitos gravitacionais promovem a drenagem forçada dos hidrocarbonetos da matriz, através fluxo em </w:t>
      </w:r>
      <w:proofErr w:type="spellStart"/>
      <w:r>
        <w:t>co-corrente</w:t>
      </w:r>
      <w:proofErr w:type="spellEnd"/>
      <w:r>
        <w:t>.</w:t>
      </w:r>
    </w:p>
    <w:p w14:paraId="4FF3193C" w14:textId="77777777" w:rsidR="00205824" w:rsidRDefault="00205824" w:rsidP="00205824">
      <w:pPr>
        <w:spacing w:before="60" w:after="0" w:line="240" w:lineRule="auto"/>
        <w:ind w:firstLine="567"/>
        <w:jc w:val="both"/>
      </w:pPr>
      <w:r>
        <w:t xml:space="preserve">Os principais parâmetros que controlam esse processo são a </w:t>
      </w:r>
      <w:proofErr w:type="spellStart"/>
      <w:r>
        <w:t>molhabilidade</w:t>
      </w:r>
      <w:proofErr w:type="spellEnd"/>
      <w:r>
        <w:t xml:space="preserve"> da rocha aos fluidos presentes, a continuidade capilar da matriz da rocha e a densidade dos fluidos. No caso da injeção de gás, por exemplo, a rocha provavelmente terá maior afinidade com os fluidos conatos do que com os fluidos injetados. A </w:t>
      </w:r>
      <w:proofErr w:type="spellStart"/>
      <w:r>
        <w:t>embebição</w:t>
      </w:r>
      <w:proofErr w:type="spellEnd"/>
      <w:r>
        <w:t xml:space="preserve"> espontânea será mínima, e os efeitos gravitacionais favorecerão a </w:t>
      </w:r>
      <w:proofErr w:type="spellStart"/>
      <w:r>
        <w:t>embebição</w:t>
      </w:r>
      <w:proofErr w:type="spellEnd"/>
      <w:r>
        <w:t xml:space="preserve"> nas áreas mais altas da formação. Já no caso da injeção de água, a </w:t>
      </w:r>
      <w:proofErr w:type="spellStart"/>
      <w:r>
        <w:t>embebição</w:t>
      </w:r>
      <w:proofErr w:type="spellEnd"/>
      <w:r>
        <w:t xml:space="preserve"> espontânea da matriz tende a ser mais pronunciada e os aspectos gravitacionais favorecerão a recuperação de óleo nas camadas inferiores.</w:t>
      </w:r>
    </w:p>
    <w:p w14:paraId="3C1C0523" w14:textId="2A4B0724" w:rsidR="00205824" w:rsidRDefault="00205824" w:rsidP="00205824">
      <w:pPr>
        <w:spacing w:before="60" w:after="0" w:line="240" w:lineRule="auto"/>
        <w:ind w:firstLine="567"/>
        <w:jc w:val="both"/>
      </w:pPr>
      <w:r>
        <w:t>São também investigados aspectos de escala na modelagem e a interação dos parâmetros multifásicos permeabilidade relativa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) e pressão capilar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) em diferentes escalas. Destaca-se a importância que os parâmetros utilizados nos modelos sejam coerentes com a </w:t>
      </w:r>
      <w:proofErr w:type="spellStart"/>
      <w:r>
        <w:t>molhabilidade</w:t>
      </w:r>
      <w:proofErr w:type="spellEnd"/>
      <w:r>
        <w:t xml:space="preserve"> esperada, estimados por ensaios específicos para esse fim. Além disso, devem ser projetados de forma a fisicamente a dinâmica de </w:t>
      </w:r>
      <w:proofErr w:type="spellStart"/>
      <w:r>
        <w:t>embebição</w:t>
      </w:r>
      <w:proofErr w:type="spellEnd"/>
      <w:r>
        <w:t xml:space="preserve"> esperada.</w:t>
      </w:r>
    </w:p>
    <w:p w14:paraId="19FDF09A" w14:textId="06386162" w:rsidR="00205824" w:rsidRDefault="00205824" w:rsidP="00205824">
      <w:pPr>
        <w:spacing w:before="60" w:after="0" w:line="240" w:lineRule="auto"/>
        <w:ind w:firstLine="567"/>
        <w:jc w:val="both"/>
      </w:pPr>
      <w:r>
        <w:t xml:space="preserve">Por fim, apresenta-se uma breve avaliação da validade de modelos numéricos tradicionalmente utilizados para a caracterização de meios fraturados. São eles: (i) representação explícita de fraturas por Local Grid </w:t>
      </w:r>
      <w:proofErr w:type="spellStart"/>
      <w:r>
        <w:t>Refinement</w:t>
      </w:r>
      <w:proofErr w:type="spellEnd"/>
      <w:r>
        <w:t xml:space="preserve"> (LGR); (</w:t>
      </w:r>
      <w:proofErr w:type="spellStart"/>
      <w:r>
        <w:t>ii</w:t>
      </w:r>
      <w:proofErr w:type="spellEnd"/>
      <w:r>
        <w:t xml:space="preserve">) modelos de duplo contínuo </w:t>
      </w:r>
      <m:oMath>
        <m:r>
          <w:rPr>
            <w:rFonts w:ascii="Cambria Math" w:hAnsi="Cambria Math"/>
          </w:rPr>
          <m:t>2ϕ</m:t>
        </m:r>
      </m:oMath>
      <w:r>
        <w:t xml:space="preserve"> e </w:t>
      </w:r>
      <m:oMath>
        <m:r>
          <w:rPr>
            <w:rFonts w:ascii="Cambria Math" w:hAnsi="Cambria Math"/>
          </w:rPr>
          <m:t>2ϕ2κ</m:t>
        </m:r>
      </m:oMath>
      <w:r>
        <w:t>; e (iii) Embedded Discret</w:t>
      </w:r>
      <w:proofErr w:type="spellStart"/>
      <w:r>
        <w:t>e</w:t>
      </w:r>
      <w:proofErr w:type="spellEnd"/>
      <w:r>
        <w:t xml:space="preserve"> </w:t>
      </w:r>
      <w:proofErr w:type="spellStart"/>
      <w:r>
        <w:t>Fracture</w:t>
      </w:r>
      <w:proofErr w:type="spellEnd"/>
      <w:r>
        <w:t xml:space="preserve"> Model (EDFM).</w:t>
      </w:r>
    </w:p>
    <w:p w14:paraId="7CC5B57E" w14:textId="77777777" w:rsidR="00205824" w:rsidRDefault="00205824" w:rsidP="00205824">
      <w:pPr>
        <w:spacing w:before="60" w:after="0" w:line="240" w:lineRule="auto"/>
        <w:ind w:firstLine="567"/>
        <w:jc w:val="both"/>
      </w:pPr>
      <w:r>
        <w:t xml:space="preserve">Os resultados se baseiam em modelos benchmarkings representativos para diferentes </w:t>
      </w:r>
      <w:proofErr w:type="spellStart"/>
      <w:r>
        <w:t>molhabilidades</w:t>
      </w:r>
      <w:proofErr w:type="spellEnd"/>
      <w:r>
        <w:t xml:space="preserve"> – à água (WW), mista (MW) e ao óleo (OW). Trata-se de aspectos com abrangência direta para os modelos dos principais campo em operação na PETROBRAS, do PPSBS.</w:t>
      </w:r>
    </w:p>
    <w:p w14:paraId="386BA517" w14:textId="1162222C" w:rsidR="00205824" w:rsidRDefault="00205824" w:rsidP="00205824">
      <w:pPr>
        <w:spacing w:before="60" w:after="0" w:line="240" w:lineRule="auto"/>
        <w:ind w:firstLine="567"/>
        <w:jc w:val="both"/>
      </w:pPr>
      <w:r>
        <w:t xml:space="preserve">De forma geral, </w:t>
      </w:r>
      <w:r>
        <w:t>o</w:t>
      </w:r>
      <w:r>
        <w:t xml:space="preserve"> trabalho permite concluir que</w:t>
      </w:r>
      <w:r>
        <w:t>:</w:t>
      </w:r>
    </w:p>
    <w:p w14:paraId="14A92E70" w14:textId="74101267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 xml:space="preserve">É necessário avaliar e discutir ativamente o impacto da </w:t>
      </w:r>
      <w:proofErr w:type="spellStart"/>
      <w:r>
        <w:t>molhabilidade</w:t>
      </w:r>
      <w:proofErr w:type="spellEnd"/>
      <w:r>
        <w:t xml:space="preserve"> e do fluxo multifásico dos fluidos no meio poroso durante a modelagem.</w:t>
      </w:r>
    </w:p>
    <w:p w14:paraId="39673250" w14:textId="0F7E9DA6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 xml:space="preserve">A injeção de gás ou de água têm dinâmicas diferentes devido à </w:t>
      </w:r>
      <w:proofErr w:type="spellStart"/>
      <w:r>
        <w:t>molhabilidade</w:t>
      </w:r>
      <w:proofErr w:type="spellEnd"/>
      <w:r>
        <w:t xml:space="preserve"> e à dinâmica de preenchimento dos poros pelo fluido injetado, com impacto na recuperação e no tempo de breakthrough dos fluidos. Muitas vezes se atribui a maior velocidade de migração do gás apenas à sua menor viscosidade, o que não é suficiente para explicar os dados de campo.</w:t>
      </w:r>
    </w:p>
    <w:p w14:paraId="470206AC" w14:textId="25A5B2D9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lastRenderedPageBreak/>
        <w:t xml:space="preserve">Curvas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dos modelos numéricos devem ser compatíveis com a molhabilidade do meio. Eensaios laboratoriais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em regime transiente são inconsistentes para meios de molhabilidade mista, e devem ser utilizados com cautela.</w:t>
      </w:r>
    </w:p>
    <w:p w14:paraId="33C6C5A2" w14:textId="0646F460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 xml:space="preserve">O uso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no modelo numérico é função da escala, podendo ser negligenciado em modelos de porosidade simples em escala de campo. Entretanto, fluxos de </w:t>
      </w:r>
      <w:proofErr w:type="spellStart"/>
      <w:r>
        <w:t>upscaling</w:t>
      </w:r>
      <w:proofErr w:type="spellEnd"/>
      <w:r>
        <w:t xml:space="preserve">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precisam considerar a capilaridade, que tem papel </w:t>
      </w:r>
      <w:proofErr w:type="spellStart"/>
      <w:r>
        <w:t>homogenizante</w:t>
      </w:r>
      <w:proofErr w:type="spellEnd"/>
      <w:r>
        <w:t xml:space="preserve"> em escalas menores.</w:t>
      </w:r>
    </w:p>
    <w:p w14:paraId="6B98A6D3" w14:textId="2173A252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 xml:space="preserve">O fator de forma no </w:t>
      </w:r>
      <m:oMath>
        <m:r>
          <w:rPr>
            <w:rFonts w:ascii="Cambria Math" w:hAnsi="Cambria Math"/>
          </w:rPr>
          <m:t>2ϕ2k</m:t>
        </m:r>
      </m:oMath>
      <w:r>
        <w:t xml:space="preserve"> de Gilman-Kazemi se mostrou válido para rochas WW. Entretanto, para rochas MW, o fator de forma demanda um ajuste significativo. Mostrou-se um parâmetro essencial e deve ser utilizado no ajuste de histórico.</w:t>
      </w:r>
    </w:p>
    <w:p w14:paraId="5A44D7B9" w14:textId="505723EA" w:rsidR="00205824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 xml:space="preserve">A continuidade capilar e a diferença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entre a matriz e as fraturas impactam negativamente à recuperação e devem ser plenamente investigados. Em geral, modelos </w:t>
      </w:r>
      <m:oMath>
        <m:r>
          <w:rPr>
            <w:rFonts w:ascii="Cambria Math" w:hAnsi="Cambria Math"/>
          </w:rPr>
          <m:t>2ϕ</m:t>
        </m:r>
      </m:oMath>
      <w:r>
        <w:t xml:space="preserve"> devem ser evitados, utilizando-se </w:t>
      </w:r>
      <m:oMath>
        <m:r>
          <w:rPr>
            <w:rFonts w:ascii="Cambria Math" w:hAnsi="Cambria Math"/>
          </w:rPr>
          <m:t>2ϕ2κ</m:t>
        </m:r>
      </m:oMath>
      <w:r>
        <w:t>, que garantem a continuidade capilar que é esperada na maioria dos casos de interesse.</w:t>
      </w:r>
    </w:p>
    <w:p w14:paraId="05858749" w14:textId="5FD49103" w:rsidR="00C51699" w:rsidRDefault="00205824" w:rsidP="00205824">
      <w:pPr>
        <w:pStyle w:val="PargrafodaLista"/>
        <w:numPr>
          <w:ilvl w:val="0"/>
          <w:numId w:val="1"/>
        </w:numPr>
        <w:tabs>
          <w:tab w:val="left" w:pos="851"/>
        </w:tabs>
        <w:spacing w:before="60" w:after="0" w:line="240" w:lineRule="auto"/>
        <w:ind w:left="851" w:hanging="284"/>
        <w:contextualSpacing w:val="0"/>
        <w:jc w:val="both"/>
      </w:pPr>
      <w:r>
        <w:t>Modelos EDFM devem ser utilizados com cautela</w:t>
      </w:r>
      <w:r>
        <w:t xml:space="preserve"> em reservatórios naturalmente fraturados</w:t>
      </w:r>
      <w:r>
        <w:t xml:space="preserve">, porque utilizam a geometria da fratura discreta no cálculo das transmissibilidades. Entretanto, trata-se de parâmetro altamente incerto </w:t>
      </w:r>
      <w:r>
        <w:t>nesses casos</w:t>
      </w:r>
      <w:r>
        <w:t xml:space="preserve">. Além disso, validação multifásica do EDFM não foi exaurida, </w:t>
      </w:r>
      <w:r>
        <w:t xml:space="preserve">uma vez que o método </w:t>
      </w:r>
      <w:r>
        <w:t>foi desenvolvido para fraturas hidráulicas submetidas essencialmente a fluxo viscoso, em que efeitos capilares são secundários.</w:t>
      </w:r>
    </w:p>
    <w:sectPr w:rsidR="00C51699" w:rsidSect="00205824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75A9" w14:textId="77777777" w:rsidR="00E95B05" w:rsidRDefault="00E95B05" w:rsidP="006777F0">
      <w:pPr>
        <w:spacing w:after="0" w:line="240" w:lineRule="auto"/>
      </w:pPr>
      <w:r>
        <w:separator/>
      </w:r>
    </w:p>
  </w:endnote>
  <w:endnote w:type="continuationSeparator" w:id="0">
    <w:p w14:paraId="6722DAFE" w14:textId="77777777" w:rsidR="00E95B05" w:rsidRDefault="00E95B05" w:rsidP="006777F0">
      <w:pPr>
        <w:spacing w:after="0" w:line="240" w:lineRule="auto"/>
      </w:pPr>
      <w:r>
        <w:continuationSeparator/>
      </w:r>
    </w:p>
  </w:endnote>
  <w:endnote w:type="continuationNotice" w:id="1">
    <w:p w14:paraId="6841E332" w14:textId="77777777" w:rsidR="00E95B05" w:rsidRDefault="00E95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A584E" w14:textId="6E8A560B" w:rsidR="00B366C2" w:rsidRDefault="00B366C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3D98F" wp14:editId="3F0AEB5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128405264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D375B1" w14:textId="7B56FB23" w:rsidR="00B366C2" w:rsidRPr="00B366C2" w:rsidRDefault="00B366C2" w:rsidP="00B366C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366C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3D98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0D375B1" w14:textId="7B56FB23" w:rsidR="00B366C2" w:rsidRPr="00B366C2" w:rsidRDefault="00B366C2" w:rsidP="00B366C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366C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D151" w14:textId="138A00A7" w:rsidR="00B366C2" w:rsidRDefault="00B366C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047CA8E" wp14:editId="41A4E75C">
              <wp:simplePos x="1082694" y="100752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42935257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C862BA" w14:textId="618067B7" w:rsidR="00B366C2" w:rsidRPr="00B366C2" w:rsidRDefault="00B366C2" w:rsidP="00B366C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366C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7CA8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BC862BA" w14:textId="618067B7" w:rsidR="00B366C2" w:rsidRPr="00B366C2" w:rsidRDefault="00B366C2" w:rsidP="00B366C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366C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0CC" w14:textId="37BFC9CE" w:rsidR="00B366C2" w:rsidRDefault="00B366C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ADBFFF" wp14:editId="22E6D4C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581992680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95CE45" w14:textId="6A16D85F" w:rsidR="00B366C2" w:rsidRPr="00B366C2" w:rsidRDefault="00B366C2" w:rsidP="00B366C2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366C2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ADBFF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C95CE45" w14:textId="6A16D85F" w:rsidR="00B366C2" w:rsidRPr="00B366C2" w:rsidRDefault="00B366C2" w:rsidP="00B366C2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366C2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39FA0" w14:textId="77777777" w:rsidR="00E95B05" w:rsidRDefault="00E95B05" w:rsidP="006777F0">
      <w:pPr>
        <w:spacing w:after="0" w:line="240" w:lineRule="auto"/>
      </w:pPr>
      <w:r>
        <w:separator/>
      </w:r>
    </w:p>
  </w:footnote>
  <w:footnote w:type="continuationSeparator" w:id="0">
    <w:p w14:paraId="22D4E362" w14:textId="77777777" w:rsidR="00E95B05" w:rsidRDefault="00E95B05" w:rsidP="006777F0">
      <w:pPr>
        <w:spacing w:after="0" w:line="240" w:lineRule="auto"/>
      </w:pPr>
      <w:r>
        <w:continuationSeparator/>
      </w:r>
    </w:p>
  </w:footnote>
  <w:footnote w:type="continuationNotice" w:id="1">
    <w:p w14:paraId="6B4BCB11" w14:textId="77777777" w:rsidR="00E95B05" w:rsidRDefault="00E95B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E4E0" w14:textId="0D1683D8" w:rsidR="00C51699" w:rsidRDefault="00C51699" w:rsidP="00C516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E477C0" wp14:editId="4AD2C6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A41A90" id="Retângulo 4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ETSR 2024 – realização 01 a 03/out/24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AF0"/>
    <w:multiLevelType w:val="hybridMultilevel"/>
    <w:tmpl w:val="84A2A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49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8"/>
    <w:rsid w:val="00014502"/>
    <w:rsid w:val="00020847"/>
    <w:rsid w:val="000271ED"/>
    <w:rsid w:val="00035B35"/>
    <w:rsid w:val="000443AD"/>
    <w:rsid w:val="000628EA"/>
    <w:rsid w:val="000629B2"/>
    <w:rsid w:val="000C4B74"/>
    <w:rsid w:val="000D289C"/>
    <w:rsid w:val="000D3F69"/>
    <w:rsid w:val="000D47A1"/>
    <w:rsid w:val="000E538D"/>
    <w:rsid w:val="000F13FC"/>
    <w:rsid w:val="000F2E71"/>
    <w:rsid w:val="001000C5"/>
    <w:rsid w:val="00104365"/>
    <w:rsid w:val="00120AAB"/>
    <w:rsid w:val="00161E5F"/>
    <w:rsid w:val="001622A1"/>
    <w:rsid w:val="00194DD9"/>
    <w:rsid w:val="001A131F"/>
    <w:rsid w:val="001B053E"/>
    <w:rsid w:val="001B0F33"/>
    <w:rsid w:val="001B326C"/>
    <w:rsid w:val="001D5974"/>
    <w:rsid w:val="0020547F"/>
    <w:rsid w:val="00205824"/>
    <w:rsid w:val="00226771"/>
    <w:rsid w:val="00274BEF"/>
    <w:rsid w:val="00280BD2"/>
    <w:rsid w:val="00284393"/>
    <w:rsid w:val="00285331"/>
    <w:rsid w:val="00287C62"/>
    <w:rsid w:val="002D1C4F"/>
    <w:rsid w:val="002D6BC5"/>
    <w:rsid w:val="002D7935"/>
    <w:rsid w:val="002E712C"/>
    <w:rsid w:val="002F7632"/>
    <w:rsid w:val="003060C7"/>
    <w:rsid w:val="00333BD5"/>
    <w:rsid w:val="00345336"/>
    <w:rsid w:val="0035152F"/>
    <w:rsid w:val="003803F0"/>
    <w:rsid w:val="003D6E9F"/>
    <w:rsid w:val="003E5295"/>
    <w:rsid w:val="004263E2"/>
    <w:rsid w:val="00432DB1"/>
    <w:rsid w:val="004333DD"/>
    <w:rsid w:val="00436898"/>
    <w:rsid w:val="00441E71"/>
    <w:rsid w:val="00461BCD"/>
    <w:rsid w:val="004A7CA4"/>
    <w:rsid w:val="004B6975"/>
    <w:rsid w:val="004D6DEA"/>
    <w:rsid w:val="004E0E14"/>
    <w:rsid w:val="004F1334"/>
    <w:rsid w:val="00500AC3"/>
    <w:rsid w:val="00517156"/>
    <w:rsid w:val="00521A96"/>
    <w:rsid w:val="0052709D"/>
    <w:rsid w:val="00527BDD"/>
    <w:rsid w:val="0054093A"/>
    <w:rsid w:val="0054529D"/>
    <w:rsid w:val="00545CD1"/>
    <w:rsid w:val="00545E8E"/>
    <w:rsid w:val="0056449A"/>
    <w:rsid w:val="00581D20"/>
    <w:rsid w:val="00583EB9"/>
    <w:rsid w:val="00592F78"/>
    <w:rsid w:val="005951FF"/>
    <w:rsid w:val="005A412A"/>
    <w:rsid w:val="005C3786"/>
    <w:rsid w:val="006128C6"/>
    <w:rsid w:val="00631889"/>
    <w:rsid w:val="00642A03"/>
    <w:rsid w:val="00666250"/>
    <w:rsid w:val="006777F0"/>
    <w:rsid w:val="00691E26"/>
    <w:rsid w:val="00691F7C"/>
    <w:rsid w:val="006D143E"/>
    <w:rsid w:val="006D3C9B"/>
    <w:rsid w:val="006F5453"/>
    <w:rsid w:val="00711D27"/>
    <w:rsid w:val="00713F76"/>
    <w:rsid w:val="00716FC7"/>
    <w:rsid w:val="0073126F"/>
    <w:rsid w:val="007419DB"/>
    <w:rsid w:val="00776B2E"/>
    <w:rsid w:val="007E0DC2"/>
    <w:rsid w:val="007F3D48"/>
    <w:rsid w:val="008036DA"/>
    <w:rsid w:val="00807868"/>
    <w:rsid w:val="0081336B"/>
    <w:rsid w:val="00825BA6"/>
    <w:rsid w:val="00850C88"/>
    <w:rsid w:val="00862925"/>
    <w:rsid w:val="00862BB9"/>
    <w:rsid w:val="008740E8"/>
    <w:rsid w:val="00893767"/>
    <w:rsid w:val="00895222"/>
    <w:rsid w:val="0089712A"/>
    <w:rsid w:val="008C0261"/>
    <w:rsid w:val="008D10F2"/>
    <w:rsid w:val="008E764D"/>
    <w:rsid w:val="008F52DA"/>
    <w:rsid w:val="008F5AC2"/>
    <w:rsid w:val="009019BA"/>
    <w:rsid w:val="00913F5B"/>
    <w:rsid w:val="00944A29"/>
    <w:rsid w:val="00945CBF"/>
    <w:rsid w:val="00947091"/>
    <w:rsid w:val="00953A55"/>
    <w:rsid w:val="00965900"/>
    <w:rsid w:val="009B09C1"/>
    <w:rsid w:val="009C3738"/>
    <w:rsid w:val="00A05C51"/>
    <w:rsid w:val="00A066ED"/>
    <w:rsid w:val="00A27517"/>
    <w:rsid w:val="00A30D77"/>
    <w:rsid w:val="00A733F3"/>
    <w:rsid w:val="00A83268"/>
    <w:rsid w:val="00A8448F"/>
    <w:rsid w:val="00A87406"/>
    <w:rsid w:val="00A92676"/>
    <w:rsid w:val="00A939DB"/>
    <w:rsid w:val="00AB0A57"/>
    <w:rsid w:val="00AC01EB"/>
    <w:rsid w:val="00AD2FE8"/>
    <w:rsid w:val="00B33DE0"/>
    <w:rsid w:val="00B366C2"/>
    <w:rsid w:val="00B36B43"/>
    <w:rsid w:val="00B40B00"/>
    <w:rsid w:val="00B42810"/>
    <w:rsid w:val="00B8045A"/>
    <w:rsid w:val="00B930CE"/>
    <w:rsid w:val="00BA2804"/>
    <w:rsid w:val="00BE0CA1"/>
    <w:rsid w:val="00BE530B"/>
    <w:rsid w:val="00BF0852"/>
    <w:rsid w:val="00BF5639"/>
    <w:rsid w:val="00C14C66"/>
    <w:rsid w:val="00C1742C"/>
    <w:rsid w:val="00C27A34"/>
    <w:rsid w:val="00C51699"/>
    <w:rsid w:val="00C66537"/>
    <w:rsid w:val="00C71EB1"/>
    <w:rsid w:val="00CC557F"/>
    <w:rsid w:val="00CE56AA"/>
    <w:rsid w:val="00CE7EE4"/>
    <w:rsid w:val="00D239A8"/>
    <w:rsid w:val="00DA1D56"/>
    <w:rsid w:val="00DA5097"/>
    <w:rsid w:val="00DA55CC"/>
    <w:rsid w:val="00DA7AB0"/>
    <w:rsid w:val="00DF460E"/>
    <w:rsid w:val="00E02DA1"/>
    <w:rsid w:val="00E22FBF"/>
    <w:rsid w:val="00E50C57"/>
    <w:rsid w:val="00E95B05"/>
    <w:rsid w:val="00ED2DEB"/>
    <w:rsid w:val="00ED6A03"/>
    <w:rsid w:val="00EE79F3"/>
    <w:rsid w:val="00EF1279"/>
    <w:rsid w:val="00F179A8"/>
    <w:rsid w:val="00F60690"/>
    <w:rsid w:val="00F61A44"/>
    <w:rsid w:val="00F76ABD"/>
    <w:rsid w:val="00F84BBF"/>
    <w:rsid w:val="00FA77A8"/>
    <w:rsid w:val="00FB0735"/>
    <w:rsid w:val="00FC5386"/>
    <w:rsid w:val="00FD1360"/>
    <w:rsid w:val="00FD1524"/>
    <w:rsid w:val="00FD21CB"/>
    <w:rsid w:val="00FE77CF"/>
    <w:rsid w:val="02FF62EC"/>
    <w:rsid w:val="05330203"/>
    <w:rsid w:val="073FB2F6"/>
    <w:rsid w:val="0F8947C5"/>
    <w:rsid w:val="115FF680"/>
    <w:rsid w:val="1BCE35AF"/>
    <w:rsid w:val="1EA84E9D"/>
    <w:rsid w:val="358BE205"/>
    <w:rsid w:val="3C5B36DD"/>
    <w:rsid w:val="41FA64A4"/>
    <w:rsid w:val="4A8ECCEF"/>
    <w:rsid w:val="4ABBCA71"/>
    <w:rsid w:val="521F6660"/>
    <w:rsid w:val="5338394F"/>
    <w:rsid w:val="5AE163A5"/>
    <w:rsid w:val="5BC19217"/>
    <w:rsid w:val="6261BD63"/>
    <w:rsid w:val="6B232330"/>
    <w:rsid w:val="6CF5A501"/>
    <w:rsid w:val="73E488FD"/>
    <w:rsid w:val="797F89DA"/>
    <w:rsid w:val="7B563895"/>
    <w:rsid w:val="7E4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4DBA0"/>
  <w15:chartTrackingRefBased/>
  <w15:docId w15:val="{0B8E03D6-4365-47F1-B415-215DAEB2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C5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557F"/>
  </w:style>
  <w:style w:type="paragraph" w:styleId="Rodap">
    <w:name w:val="footer"/>
    <w:basedOn w:val="Normal"/>
    <w:link w:val="RodapChar"/>
    <w:uiPriority w:val="99"/>
    <w:unhideWhenUsed/>
    <w:rsid w:val="00CC5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557F"/>
  </w:style>
  <w:style w:type="paragraph" w:styleId="Reviso">
    <w:name w:val="Revision"/>
    <w:hidden/>
    <w:uiPriority w:val="99"/>
    <w:semiHidden/>
    <w:rsid w:val="003D6E9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2058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058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a9ce99-b9e8-4534-a48d-7f39013b473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AECEDBB830CD4597AAF3448D08A549" ma:contentTypeVersion="12" ma:contentTypeDescription="Crie um novo documento." ma:contentTypeScope="" ma:versionID="447072f5f74a71c942e098a34cc64458">
  <xsd:schema xmlns:xsd="http://www.w3.org/2001/XMLSchema" xmlns:xs="http://www.w3.org/2001/XMLSchema" xmlns:p="http://schemas.microsoft.com/office/2006/metadata/properties" xmlns:ns2="9cc67744-be1c-4cee-9870-c8f25305fe5e" xmlns:ns3="f2a9ce99-b9e8-4534-a48d-7f39013b4734" targetNamespace="http://schemas.microsoft.com/office/2006/metadata/properties" ma:root="true" ma:fieldsID="1610527092b7383e368a30a3d88eda34" ns2:_="" ns3:_="">
    <xsd:import namespace="9cc67744-be1c-4cee-9870-c8f25305fe5e"/>
    <xsd:import namespace="f2a9ce99-b9e8-4534-a48d-7f39013b47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67744-be1c-4cee-9870-c8f25305fe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9ce99-b9e8-4534-a48d-7f39013b4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BE41CC-79A5-44DE-8FA7-86ED1B95CC1D}">
  <ds:schemaRefs>
    <ds:schemaRef ds:uri="http://schemas.microsoft.com/office/2006/metadata/properties"/>
    <ds:schemaRef ds:uri="http://schemas.microsoft.com/office/infopath/2007/PartnerControls"/>
    <ds:schemaRef ds:uri="f2a9ce99-b9e8-4534-a48d-7f39013b4734"/>
  </ds:schemaRefs>
</ds:datastoreItem>
</file>

<file path=customXml/itemProps2.xml><?xml version="1.0" encoding="utf-8"?>
<ds:datastoreItem xmlns:ds="http://schemas.openxmlformats.org/officeDocument/2006/customXml" ds:itemID="{2E1A5104-A66C-421D-AB81-A1EFDBF0F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9B91A5-9A56-45E3-8F42-40B01F6C5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67744-be1c-4cee-9870-c8f25305fe5e"/>
    <ds:schemaRef ds:uri="f2a9ce99-b9e8-4534-a48d-7f39013b4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769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 Souza Rios</dc:creator>
  <cp:keywords/>
  <dc:description/>
  <cp:lastModifiedBy>Renato Espirito Basso Poli</cp:lastModifiedBy>
  <cp:revision>3</cp:revision>
  <dcterms:created xsi:type="dcterms:W3CDTF">2024-06-17T11:36:00Z</dcterms:created>
  <dcterms:modified xsi:type="dcterms:W3CDTF">2024-07-09T19:16:00Z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0x010100D22E15524DAF124997A49BE7EB6A9CA7</vt:lpwstr>
  </property>
  <property fmtid="{D5CDD505-2E9C-101B-9397-08002B2CF9AE}" pid="3" name="ClassificationContentMarkingFooterShapeIds">
    <vt:lpwstr>22b080e8,43421910,38340cd9</vt:lpwstr>
  </property>
  <property fmtid="{D5CDD505-2E9C-101B-9397-08002B2CF9AE}" pid="4" name="ClassificationContentMarkingFooterFontProps">
    <vt:lpwstr>#737373,9,Trebuchet MS</vt:lpwstr>
  </property>
  <property fmtid="{D5CDD505-2E9C-101B-9397-08002B2CF9AE}" pid="5" name="ClassificationContentMarkingFooterText">
    <vt:lpwstr>PÚBLICA</vt:lpwstr>
  </property>
  <property fmtid="{D5CDD505-2E9C-101B-9397-08002B2CF9AE}" pid="6" name="MSIP_Label_140b9f7d-8e3a-482f-9702-4b7ffc40985a_Enabled">
    <vt:lpwstr>true</vt:lpwstr>
  </property>
  <property fmtid="{D5CDD505-2E9C-101B-9397-08002B2CF9AE}" pid="7" name="MSIP_Label_140b9f7d-8e3a-482f-9702-4b7ffc40985a_SetDate">
    <vt:lpwstr>2024-06-14T15:21:04Z</vt:lpwstr>
  </property>
  <property fmtid="{D5CDD505-2E9C-101B-9397-08002B2CF9AE}" pid="8" name="MSIP_Label_140b9f7d-8e3a-482f-9702-4b7ffc40985a_Method">
    <vt:lpwstr>Privileged</vt:lpwstr>
  </property>
  <property fmtid="{D5CDD505-2E9C-101B-9397-08002B2CF9AE}" pid="9" name="MSIP_Label_140b9f7d-8e3a-482f-9702-4b7ffc40985a_Name">
    <vt:lpwstr>Pública</vt:lpwstr>
  </property>
  <property fmtid="{D5CDD505-2E9C-101B-9397-08002B2CF9AE}" pid="10" name="MSIP_Label_140b9f7d-8e3a-482f-9702-4b7ffc40985a_SiteId">
    <vt:lpwstr>5b6f6241-9a57-4be4-8e50-1dfa72e79a57</vt:lpwstr>
  </property>
  <property fmtid="{D5CDD505-2E9C-101B-9397-08002B2CF9AE}" pid="11" name="MSIP_Label_140b9f7d-8e3a-482f-9702-4b7ffc40985a_ActionId">
    <vt:lpwstr>e0feb071-52b2-4b15-962e-c5a718b53d98</vt:lpwstr>
  </property>
  <property fmtid="{D5CDD505-2E9C-101B-9397-08002B2CF9AE}" pid="12" name="MSIP_Label_140b9f7d-8e3a-482f-9702-4b7ffc40985a_ContentBits">
    <vt:lpwstr>2</vt:lpwstr>
  </property>
</Properties>
</file>