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38DF" w14:textId="77777777" w:rsidR="00FA40C2" w:rsidRPr="00292F08" w:rsidRDefault="00000000">
      <w:pPr>
        <w:pStyle w:val="Heading1"/>
      </w:pPr>
      <w:bookmarkStart w:id="0" w:name="header"/>
      <w:bookmarkStart w:id="1" w:name="Xd17f391ca4cf71d23c1a60ba6ba6161e8a52823"/>
      <w:bookmarkStart w:id="2" w:name="content"/>
      <w:bookmarkEnd w:id="0"/>
      <w:r w:rsidRPr="00292F08">
        <w:t>Chapter One Introduction and Research Design</w:t>
      </w:r>
    </w:p>
    <w:p w14:paraId="18C4A82B" w14:textId="77777777" w:rsidR="00FA40C2" w:rsidRPr="00292F08" w:rsidRDefault="00000000">
      <w:pPr>
        <w:pStyle w:val="Heading2"/>
      </w:pPr>
      <w:bookmarkStart w:id="3" w:name="X7ba196d66fb5758b6bb096f07a984b9f70ebbec"/>
      <w:r w:rsidRPr="00292F08">
        <w:t>Motivation: Equity Market Concentration and Systemic Fragility</w:t>
      </w:r>
    </w:p>
    <w:p w14:paraId="4B743557" w14:textId="3107CEA5" w:rsidR="00FA40C2" w:rsidRPr="00292F08" w:rsidRDefault="00000000">
      <w:pPr>
        <w:pStyle w:val="FirstParagraph"/>
      </w:pPr>
      <w:r w:rsidRPr="00292F08">
        <w:t xml:space="preserve">The S&amp;P 500 </w:t>
      </w:r>
      <w:r w:rsidR="00292F08" w:rsidRPr="00292F08">
        <w:t>plays several roles in today’s financial system</w:t>
      </w:r>
      <w:r w:rsidRPr="00292F08">
        <w:t xml:space="preserve">: it is </w:t>
      </w:r>
      <w:r w:rsidR="00292F08">
        <w:t>the</w:t>
      </w:r>
      <w:r w:rsidRPr="00292F08">
        <w:t xml:space="preserve"> benchmark for institutional performance evaluation, </w:t>
      </w:r>
      <w:r w:rsidR="00292F08">
        <w:t>the core building block of passive investment products</w:t>
      </w:r>
      <w:r w:rsidRPr="00292F08">
        <w:t xml:space="preserve">, a </w:t>
      </w:r>
      <w:r w:rsidR="00292F08">
        <w:t>key input</w:t>
      </w:r>
      <w:r w:rsidRPr="00292F08">
        <w:t xml:space="preserve"> for risk models, and the underlying </w:t>
      </w:r>
      <w:r w:rsidR="00292F08">
        <w:t xml:space="preserve">asset </w:t>
      </w:r>
      <w:r w:rsidRPr="00292F08">
        <w:t xml:space="preserve">for the </w:t>
      </w:r>
      <w:r w:rsidR="00292F08">
        <w:t xml:space="preserve">most liquid </w:t>
      </w:r>
      <w:r w:rsidRPr="00292F08">
        <w:t>index options markets. As such, changes in its internal structure can have consequences that extend beyond portfolio composition and into the domain of market-wide fragility.</w:t>
      </w:r>
      <w:r w:rsidR="00FD2C8A">
        <w:t xml:space="preserve"> Over the past </w:t>
      </w:r>
      <w:r w:rsidR="00FC1276">
        <w:t>decade</w:t>
      </w:r>
      <w:r w:rsidR="00FD2C8A">
        <w:t>, it has been repeatedly documented that the S&amp;P 500 has become markedly more top-heavy, with a growing share of index weight concentrated in a handful of mega-cap firms.</w:t>
      </w:r>
      <w:r w:rsidR="00FC1276">
        <w:t xml:space="preserve"> </w:t>
      </w:r>
      <w:r w:rsidR="0006346E">
        <w:t>According to S&amp;P Global, concentration in the S&amp;P 500 has risen to the point where roughly two-fifths of the index’s value is now tied to just ten firms, a configuration comparable only to episodes in the 1960s</w:t>
      </w:r>
      <w:r w:rsidR="00FC1276">
        <w:t xml:space="preserve"> [</w:t>
      </w:r>
      <w:r w:rsidR="00DD6380">
        <w:t>Edwards, 2026</w:t>
      </w:r>
      <w:r w:rsidR="00FC1276" w:rsidRPr="00345DCA">
        <w:t>]</w:t>
      </w:r>
      <w:r w:rsidR="0006346E" w:rsidRPr="00345DCA">
        <w:t>.</w:t>
      </w:r>
      <w:r w:rsidR="00FD2C8A" w:rsidRPr="00345DCA">
        <w:t xml:space="preserve"> </w:t>
      </w:r>
      <w:r w:rsidR="00345DCA" w:rsidRPr="00345DCA">
        <w:t>This development</w:t>
      </w:r>
      <w:r w:rsidRPr="00345DCA">
        <w:t xml:space="preserve"> has motivated</w:t>
      </w:r>
      <w:r w:rsidR="00345DCA">
        <w:t xml:space="preserve"> index providers</w:t>
      </w:r>
      <w:r w:rsidRPr="00345DCA">
        <w:t xml:space="preserve"> </w:t>
      </w:r>
      <w:r w:rsidR="00345DCA">
        <w:t>to launch alternative benchmarks such as a</w:t>
      </w:r>
      <w:r w:rsidRPr="00345DCA">
        <w:t xml:space="preserve"> dedicated “top‑ten” </w:t>
      </w:r>
      <w:r w:rsidR="005E43F1">
        <w:t>index</w:t>
      </w:r>
      <w:r w:rsidRPr="00345DCA">
        <w:t xml:space="preserve"> that isolate</w:t>
      </w:r>
      <w:r w:rsidR="005E43F1">
        <w:t>s</w:t>
      </w:r>
      <w:r w:rsidRPr="00345DCA">
        <w:t xml:space="preserve"> the largest </w:t>
      </w:r>
      <w:r w:rsidR="005E43F1">
        <w:t>constituents</w:t>
      </w:r>
      <w:r w:rsidRPr="00345DCA">
        <w:t xml:space="preserve"> within the S&amp;P 500</w:t>
      </w:r>
      <w:r w:rsidR="005E43F1">
        <w:t xml:space="preserve"> </w:t>
      </w:r>
      <w:hyperlink r:id="rId8">
        <w:r w:rsidR="00FA40C2" w:rsidRPr="00292F08">
          <w:rPr>
            <w:rStyle w:val="Hyperlink"/>
          </w:rPr>
          <w:t>[1]</w:t>
        </w:r>
      </w:hyperlink>
      <w:r w:rsidR="005E43F1">
        <w:t xml:space="preserve"> and equal-weight </w:t>
      </w:r>
      <w:r w:rsidR="005E43F1" w:rsidRPr="00345DCA">
        <w:t>variants</w:t>
      </w:r>
      <w:r w:rsidR="005E43F1">
        <w:t xml:space="preserve"> of the index </w:t>
      </w:r>
      <w:r w:rsidR="005E43F1" w:rsidRPr="005E43F1">
        <w:t>that redistribute portfolio weight away from the mega</w:t>
      </w:r>
      <w:r w:rsidR="005E43F1" w:rsidRPr="005E43F1">
        <w:noBreakHyphen/>
        <w:t>caps and restore a more balanced exposure to the broader opportunity set </w:t>
      </w:r>
      <w:r w:rsidR="005E43F1">
        <w:t xml:space="preserve">. </w:t>
      </w:r>
      <w:r w:rsidR="00FA3C7C" w:rsidRPr="00292F08">
        <w:t xml:space="preserve"> At a fundamental level, this dissertation asks whether what is commonly referred to as “the market” still behaves as a well</w:t>
      </w:r>
      <w:r w:rsidR="00FA3C7C" w:rsidRPr="00292F08">
        <w:rPr>
          <w:rFonts w:ascii="Cambria Math" w:hAnsi="Cambria Math" w:cs="Cambria Math"/>
        </w:rPr>
        <w:t>‑</w:t>
      </w:r>
      <w:r w:rsidR="00FA3C7C" w:rsidRPr="00292F08">
        <w:t>diversified portfolio or has effectively become a concentrated exposure to a small set of firms and risk factors.</w:t>
      </w:r>
    </w:p>
    <w:p w14:paraId="442F1B87" w14:textId="6EA603BD" w:rsidR="00FA40C2" w:rsidRPr="00292F08" w:rsidRDefault="00DB0C47">
      <w:pPr>
        <w:pStyle w:val="BodyText"/>
      </w:pPr>
      <w:r>
        <w:t>The simplest way to describe concentration is in cross-sectional terms: in any cap-weighted index, larger firms carry higher weights, so if a few companies grow markedly faster than the rest, the index naturally becomes more top-heavy. Common summary statistics, such as the cumulative weight of the largest stocks</w:t>
      </w:r>
      <w:r w:rsidRPr="00292F08">
        <w:t xml:space="preserve"> </w:t>
      </w:r>
      <w:r>
        <w:t>(“</w:t>
      </w:r>
      <w:r w:rsidRPr="00292F08">
        <w:t>top‑</w:t>
      </w:r>
      <m:oMath>
        <m:r>
          <w:rPr>
            <w:rFonts w:ascii="Cambria Math" w:hAnsi="Cambria Math"/>
          </w:rPr>
          <m:t>N</m:t>
        </m:r>
      </m:oMath>
      <w:r>
        <w:t xml:space="preserve">” </w:t>
      </w:r>
      <w:r w:rsidRPr="00292F08">
        <w:t>weight shares</w:t>
      </w:r>
      <w:r>
        <w:t>),</w:t>
      </w:r>
      <w:r w:rsidRPr="00292F08">
        <w:t xml:space="preserve"> </w:t>
      </w:r>
      <w:r>
        <w:t xml:space="preserve">a </w:t>
      </w:r>
      <w:r w:rsidRPr="00292F08">
        <w:t xml:space="preserve">Herfindahl–Hirschman Index (HHI), </w:t>
      </w:r>
      <w:r>
        <w:t>or a Gini coefficient of index weights, are</w:t>
      </w:r>
      <w:r w:rsidRPr="00292F08">
        <w:t xml:space="preserve"> used in index research to quantify concentration levels and compare them across time and within sectors. </w:t>
      </w:r>
      <w:hyperlink r:id="rId9">
        <w:r w:rsidR="00FA40C2" w:rsidRPr="00292F08">
          <w:rPr>
            <w:rStyle w:val="Hyperlink"/>
          </w:rPr>
          <w:t>[2]</w:t>
        </w:r>
      </w:hyperlink>
      <w:r w:rsidRPr="00292F08">
        <w:t xml:space="preserve"> While such weight-based statistics are </w:t>
      </w:r>
      <w:r w:rsidR="0024387B">
        <w:t>useful as a starting point</w:t>
      </w:r>
      <w:r w:rsidRPr="00292F08">
        <w:t>, they are not sufficient to characterize the economic implications of concentration</w:t>
      </w:r>
      <w:r w:rsidR="0024387B">
        <w:t>, as they remain silent about the mechanism of risk aggregation</w:t>
      </w:r>
      <w:r w:rsidRPr="00292F08">
        <w:t xml:space="preserve">. The reason is that the market index is not merely a collection of weights: it is a </w:t>
      </w:r>
      <w:r w:rsidRPr="00F21D89">
        <w:t>risk aggregator</w:t>
      </w:r>
      <w:r w:rsidRPr="00292F08">
        <w:t xml:space="preserve">, and systemic fragility is driven by how shocks propagate into the aggregate distribution, particularly in the left tail and during </w:t>
      </w:r>
      <w:r w:rsidR="0024387B">
        <w:t xml:space="preserve">episodes when </w:t>
      </w:r>
      <w:r w:rsidRPr="00292F08">
        <w:t>correlation</w:t>
      </w:r>
      <w:r w:rsidR="0024387B">
        <w:t xml:space="preserve">s spikes and normal diversification </w:t>
      </w:r>
      <w:r w:rsidRPr="00292F08">
        <w:t>break</w:t>
      </w:r>
      <w:r w:rsidR="0024387B">
        <w:t xml:space="preserve">s </w:t>
      </w:r>
      <w:r w:rsidRPr="00292F08">
        <w:t>down.</w:t>
      </w:r>
      <w:r w:rsidR="00F21D89">
        <w:t xml:space="preserve"> </w:t>
      </w:r>
      <w:r w:rsidR="00F21D89" w:rsidRPr="00F21D89">
        <w:t>As an ever larger fraction of index returns and volatility is driven by a small set of dominant firms, the apparent breadth of the benchmark can mask a more fragile form of diversification: upside participation looks easy in rising markets, but disappointments in one or two key names can translate into disproportionately severe index</w:t>
      </w:r>
      <w:r w:rsidR="00F21D89" w:rsidRPr="00F21D89">
        <w:noBreakHyphen/>
        <w:t>level drawdowns</w:t>
      </w:r>
      <w:r w:rsidR="00F21D89">
        <w:t>. Put differently, high concentration can amplify systemic fragility in ways that a static weight metric alone would fail to reveal.</w:t>
      </w:r>
    </w:p>
    <w:p w14:paraId="5E3FEA79" w14:textId="512731BA" w:rsidR="00FA40C2" w:rsidRPr="00292F08" w:rsidRDefault="00F21D89">
      <w:pPr>
        <w:pStyle w:val="BodyText"/>
      </w:pPr>
      <w:r>
        <w:t>For these reasons, t</w:t>
      </w:r>
      <w:r w:rsidRPr="00292F08">
        <w:t>his dissertation</w:t>
      </w:r>
      <w:r>
        <w:t xml:space="preserve"> </w:t>
      </w:r>
      <w:r w:rsidRPr="00292F08">
        <w:t xml:space="preserve">treats concentration as more than </w:t>
      </w:r>
      <w:r>
        <w:t>a mechanical by-product of index construction</w:t>
      </w:r>
      <w:r w:rsidRPr="00292F08">
        <w:t xml:space="preserve">. </w:t>
      </w:r>
      <w:r>
        <w:t xml:space="preserve">The guiding idea is to view concentration as a structural </w:t>
      </w:r>
      <w:r>
        <w:lastRenderedPageBreak/>
        <w:t>state of the equity maket</w:t>
      </w:r>
      <w:r w:rsidRPr="00292F08">
        <w:t xml:space="preserve">, in which aggregate outcomes become disproportionately sensitive to the shocks, exposures, and tail risks of a narrow set of dominant firms. This state-based </w:t>
      </w:r>
      <w:r w:rsidR="00DC6695">
        <w:t>perspective closely</w:t>
      </w:r>
      <w:r w:rsidRPr="00292F08">
        <w:t xml:space="preserve"> </w:t>
      </w:r>
      <w:r w:rsidR="00DC6695">
        <w:t>parallels</w:t>
      </w:r>
      <w:r w:rsidRPr="00292F08">
        <w:t xml:space="preserve"> </w:t>
      </w:r>
      <w:r w:rsidRPr="00292F08">
        <w:rPr>
          <w:b/>
          <w:bCs/>
        </w:rPr>
        <w:t>granular hypothesis</w:t>
      </w:r>
      <w:r w:rsidRPr="00292F08">
        <w:t xml:space="preserve">, </w:t>
      </w:r>
      <w:r w:rsidR="00DC6695">
        <w:t xml:space="preserve">a classical idea in macro-finance </w:t>
      </w:r>
      <w:r w:rsidRPr="00292F08">
        <w:t xml:space="preserve">which </w:t>
      </w:r>
      <w:r w:rsidR="00DC6695">
        <w:t>argues</w:t>
      </w:r>
      <w:r w:rsidRPr="00292F08">
        <w:t xml:space="preserve"> that</w:t>
      </w:r>
      <w:r w:rsidR="00DC6695">
        <w:t xml:space="preserve"> </w:t>
      </w:r>
      <w:r w:rsidRPr="00292F08">
        <w:t>when the size distribution is sufficiently skewed</w:t>
      </w:r>
      <w:r w:rsidR="00DC6695">
        <w:t xml:space="preserve"> (</w:t>
      </w:r>
      <w:r w:rsidR="00DC6695" w:rsidRPr="00B10B5E">
        <w:rPr>
          <w:highlight w:val="yellow"/>
        </w:rPr>
        <w:t>i.e.</w:t>
      </w:r>
      <w:r w:rsidR="00DC6695">
        <w:t xml:space="preserve"> few firms are large relative to the economy), </w:t>
      </w:r>
      <w:r w:rsidRPr="00292F08">
        <w:t xml:space="preserve">idiosyncratic shocks do not wash out in the aggregate and can meaningfully contribute to aggregate fluctuations. </w:t>
      </w:r>
      <w:hyperlink r:id="rId10">
        <w:r w:rsidR="00FA40C2" w:rsidRPr="00292F08">
          <w:rPr>
            <w:rStyle w:val="Hyperlink"/>
          </w:rPr>
          <w:t>[3]</w:t>
        </w:r>
      </w:hyperlink>
      <w:r w:rsidRPr="00292F08">
        <w:t xml:space="preserve"> In the context of a concentrated equity index, the granular mechanism suggests that what is often labelled “idiosyncratic” at the firm level may become “systemic” at the index level because the index may no longer behave like the average of many small</w:t>
      </w:r>
      <w:r w:rsidR="00DC6695">
        <w:t>, roughly similar</w:t>
      </w:r>
      <w:r w:rsidRPr="00292F08">
        <w:t xml:space="preserve"> exposures</w:t>
      </w:r>
      <w:r w:rsidR="00DC6695">
        <w:t xml:space="preserve"> [3]</w:t>
      </w:r>
      <w:r w:rsidRPr="00292F08">
        <w:t>.</w:t>
      </w:r>
    </w:p>
    <w:p w14:paraId="55131B64" w14:textId="210EE26B" w:rsidR="00FA40C2" w:rsidRPr="00292F08" w:rsidRDefault="009561EA">
      <w:pPr>
        <w:pStyle w:val="BodyText"/>
      </w:pPr>
      <w:r>
        <w:t>One might object that</w:t>
      </w:r>
      <w:r w:rsidRPr="00292F08">
        <w:t xml:space="preserve"> top-heaviness </w:t>
      </w:r>
      <w:r>
        <w:t>is just</w:t>
      </w:r>
      <w:r w:rsidRPr="00292F08">
        <w:t xml:space="preserve"> a </w:t>
      </w:r>
      <w:r w:rsidRPr="009561EA">
        <w:t>diversification</w:t>
      </w:r>
      <w:r w:rsidRPr="00292F08">
        <w:t xml:space="preserve"> issue: </w:t>
      </w:r>
      <w:r w:rsidRPr="009561EA">
        <w:t>if the effective breadth of the index shrinks, idiosyncratic risk is less diluted</w:t>
      </w:r>
      <w:r w:rsidRPr="00292F08">
        <w:t>. While correct, that framing is incomplete for two reasons. First, the welfare-relevant dimension of equity risk is not limited to variance</w:t>
      </w:r>
      <w:r>
        <w:t>, as r</w:t>
      </w:r>
      <w:r w:rsidRPr="009561EA">
        <w:t>ational investors care not only about the overall level of volatility but also about the shape of the return distribution</w:t>
      </w:r>
      <w:r>
        <w:t xml:space="preserve">: the magnitude of </w:t>
      </w:r>
      <w:r w:rsidRPr="009561EA">
        <w:t xml:space="preserve">large losses, </w:t>
      </w:r>
      <w:r w:rsidR="000B2E54">
        <w:t xml:space="preserve">the persistence of </w:t>
      </w:r>
      <w:r w:rsidRPr="009561EA">
        <w:t>drawdowns</w:t>
      </w:r>
      <w:r w:rsidR="000B2E54">
        <w:t>,</w:t>
      </w:r>
      <w:r w:rsidRPr="009561EA">
        <w:t xml:space="preserve"> and </w:t>
      </w:r>
      <w:r w:rsidR="000B2E54">
        <w:t>the</w:t>
      </w:r>
      <w:r w:rsidRPr="009561EA">
        <w:t xml:space="preserve"> frequently </w:t>
      </w:r>
      <w:r w:rsidR="000B2E54">
        <w:t xml:space="preserve">with which </w:t>
      </w:r>
      <w:r w:rsidRPr="009561EA">
        <w:t>the market enters correlation regimes in which diversification becomes ineffective</w:t>
      </w:r>
      <w:r w:rsidR="000B2E54">
        <w:t xml:space="preserve">, </w:t>
      </w:r>
      <w:r>
        <w:t xml:space="preserve">i.e., </w:t>
      </w:r>
      <w:r w:rsidR="000B2E54">
        <w:t xml:space="preserve">regimes characterized by </w:t>
      </w:r>
      <w:r w:rsidRPr="00292F08">
        <w:t xml:space="preserve">state-dependent correlations that undermine diversification in stress periods. Second, </w:t>
      </w:r>
      <w:r w:rsidR="000B2E54" w:rsidRPr="000B2E54">
        <w:t>such adverse states are not only realized ex post</w:t>
      </w:r>
      <w:r w:rsidR="000B2E54">
        <w:t>,</w:t>
      </w:r>
      <w:r w:rsidR="000B2E54" w:rsidRPr="000B2E54">
        <w:t xml:space="preserve"> but they are also priced ex ante</w:t>
      </w:r>
      <w:r w:rsidR="000B2E54">
        <w:t xml:space="preserve">, as </w:t>
      </w:r>
      <w:r w:rsidRPr="00292F08">
        <w:t>the market prices adverse states directly through derivatives: equity index options embed forward-looking information about the distribution of market outcomes, especially crash scenarios</w:t>
      </w:r>
      <w:r w:rsidR="00396B43">
        <w:t xml:space="preserve"> [</w:t>
      </w:r>
      <w:r w:rsidR="00396B43" w:rsidRPr="00396B43">
        <w:t>Breeden and Litzenberger, 1978</w:t>
      </w:r>
      <w:r w:rsidR="00396B43">
        <w:t xml:space="preserve">]. </w:t>
      </w:r>
      <w:r w:rsidR="00396B43" w:rsidRPr="00396B43">
        <w:t>In practice, indices such as the VIX aggregate information from SPX options into a measure of expected short</w:t>
      </w:r>
      <w:r w:rsidR="00396B43" w:rsidRPr="00396B43">
        <w:noBreakHyphen/>
        <w:t>horizon volatility, illustrating how option markets encode investors’ willingness to pay for protection against market</w:t>
      </w:r>
      <w:r w:rsidR="00396B43" w:rsidRPr="00396B43">
        <w:noBreakHyphen/>
        <w:t>wide downturns [Cboe, 2024].</w:t>
      </w:r>
      <w:r w:rsidRPr="00292F08">
        <w:t xml:space="preserve"> </w:t>
      </w:r>
      <w:r w:rsidR="00306907" w:rsidRPr="00306907">
        <w:t>Option</w:t>
      </w:r>
      <w:r w:rsidR="00306907" w:rsidRPr="00306907">
        <w:noBreakHyphen/>
        <w:t>based studies show that the variance risk premium</w:t>
      </w:r>
      <w:r w:rsidR="00306907">
        <w:t xml:space="preserve"> (VRP)</w:t>
      </w:r>
      <w:r w:rsidR="00C31423">
        <w:t xml:space="preserve">, </w:t>
      </w:r>
      <w:r w:rsidR="00306907">
        <w:t xml:space="preserve">i.e., </w:t>
      </w:r>
      <w:r w:rsidR="00306907" w:rsidRPr="00306907">
        <w:t>the difference between risk</w:t>
      </w:r>
      <w:r w:rsidR="00306907" w:rsidRPr="00306907">
        <w:noBreakHyphen/>
        <w:t>neutral and expected realized variance</w:t>
      </w:r>
      <w:r w:rsidR="00C31423">
        <w:t>,</w:t>
      </w:r>
      <w:r w:rsidR="00306907">
        <w:t xml:space="preserve"> forecasts</w:t>
      </w:r>
      <w:r w:rsidR="00306907" w:rsidRPr="00306907">
        <w:t xml:space="preserve"> future equity returns and is strongly linked to downside risk [Bollerslev, Tauchen and Zhou, 2009].</w:t>
      </w:r>
      <w:r w:rsidR="00306907">
        <w:t xml:space="preserve"> </w:t>
      </w:r>
      <w:r w:rsidR="00C31423" w:rsidRPr="00C31423">
        <w:t xml:space="preserve">Andersen et al. (2015) show that a separate “left-tail” factor in the option-implied density is </w:t>
      </w:r>
      <w:r w:rsidR="00686F3D">
        <w:t>required</w:t>
      </w:r>
      <w:r w:rsidR="00C31423" w:rsidRPr="00C31423">
        <w:t xml:space="preserve"> to explain </w:t>
      </w:r>
      <w:r w:rsidR="00686F3D">
        <w:t xml:space="preserve">market </w:t>
      </w:r>
      <w:r w:rsidR="00C31423" w:rsidRPr="00C31423">
        <w:t xml:space="preserve">crashes beyond what volatility alone </w:t>
      </w:r>
      <w:r w:rsidR="00686F3D">
        <w:t xml:space="preserve">can predict </w:t>
      </w:r>
      <w:r w:rsidR="00C31423" w:rsidRPr="00C31423">
        <w:t>[Andersen, Fusari and Todorov, 2015]</w:t>
      </w:r>
      <w:r w:rsidR="00C31423">
        <w:t xml:space="preserve">. </w:t>
      </w:r>
      <w:r w:rsidRPr="00292F08">
        <w:t xml:space="preserve">This motivates the core theme of the dissertation: </w:t>
      </w:r>
      <w:r w:rsidR="00306907">
        <w:t>e</w:t>
      </w:r>
      <w:r w:rsidR="00306907" w:rsidRPr="00306907">
        <w:t xml:space="preserve">quity market concentration should be </w:t>
      </w:r>
      <w:r w:rsidR="00482CFD" w:rsidRPr="00482CFD">
        <w:t>analyzed as a potential driver of fragility</w:t>
      </w:r>
      <w:r w:rsidR="00482CFD">
        <w:t xml:space="preserve"> in</w:t>
      </w:r>
      <w:r w:rsidR="00306907" w:rsidRPr="00306907">
        <w:t> </w:t>
      </w:r>
      <w:r w:rsidR="00306907" w:rsidRPr="00306907">
        <w:rPr>
          <w:i/>
          <w:iCs/>
        </w:rPr>
        <w:t>both</w:t>
      </w:r>
      <w:r w:rsidR="00306907" w:rsidRPr="00306907">
        <w:t> in the physical return distribution and in the risk-neutral pricing of extreme events</w:t>
      </w:r>
      <w:r w:rsidR="00686F3D">
        <w:t xml:space="preserve">, </w:t>
      </w:r>
      <w:r w:rsidR="00306907">
        <w:t xml:space="preserve">i.e., </w:t>
      </w:r>
      <w:r w:rsidRPr="00292F08">
        <w:t>tail states.</w:t>
      </w:r>
    </w:p>
    <w:p w14:paraId="590EB9B2" w14:textId="68DEF1AD" w:rsidR="00FA40C2" w:rsidRPr="00292F08" w:rsidRDefault="00000000">
      <w:pPr>
        <w:pStyle w:val="BodyText"/>
      </w:pPr>
      <w:r w:rsidRPr="00292F08">
        <w:t xml:space="preserve">In short, the rise in concentration is not only a story about benchmark construction. It </w:t>
      </w:r>
      <w:r w:rsidR="00C31423">
        <w:t>raises the possibility that</w:t>
      </w:r>
      <w:r w:rsidRPr="00292F08">
        <w:t xml:space="preserve"> the “market portfolio” itself may have shifted toward a regime in which aggregate risk is </w:t>
      </w:r>
      <w:r w:rsidR="00C31423">
        <w:t>heavily</w:t>
      </w:r>
      <w:r w:rsidRPr="00292F08">
        <w:t xml:space="preserve"> shaped by a small </w:t>
      </w:r>
      <w:r w:rsidR="00C31423">
        <w:t>cluster</w:t>
      </w:r>
      <w:r w:rsidRPr="00292F08">
        <w:t xml:space="preserve"> of firms and the dependence structure surrounding the</w:t>
      </w:r>
      <w:r w:rsidR="00C31423">
        <w:t xml:space="preserve">m. These are </w:t>
      </w:r>
      <w:r w:rsidRPr="00292F08">
        <w:t xml:space="preserve">precisely the ingredients that </w:t>
      </w:r>
      <w:r w:rsidR="00B33E25">
        <w:t>lie at the core of</w:t>
      </w:r>
      <w:r w:rsidRPr="00292F08">
        <w:t xml:space="preserve"> systemic-risk </w:t>
      </w:r>
      <w:r w:rsidR="00C31423">
        <w:t xml:space="preserve">analysis, as </w:t>
      </w:r>
      <w:r w:rsidR="00B33E25">
        <w:t>camptured</w:t>
      </w:r>
      <w:r w:rsidR="00C31423">
        <w:t xml:space="preserve"> by measures such as CoVar, MES, and SRISK, which formalise tail dependence and conditional capital shortfalls at the system level </w:t>
      </w:r>
      <w:r w:rsidRPr="00292F08">
        <w:t>.</w:t>
      </w:r>
      <w:r w:rsidR="00C31423" w:rsidRPr="00C31423">
        <w:rPr>
          <w:rFonts w:ascii="Georgia" w:hAnsi="Georgia"/>
          <w:color w:val="27251E"/>
        </w:rPr>
        <w:t xml:space="preserve"> </w:t>
      </w:r>
      <w:r w:rsidR="00C31423" w:rsidRPr="00C31423">
        <w:t>[Adrian and Brunnermeier, 2016; Acharya et al., 2017]</w:t>
      </w:r>
      <w:r w:rsidR="00C31423">
        <w:t xml:space="preserve">. </w:t>
      </w:r>
      <w:r w:rsidR="00C31423" w:rsidRPr="00C31423">
        <w:t>Yet existing systemic</w:t>
      </w:r>
      <w:r w:rsidR="00C31423" w:rsidRPr="00C31423">
        <w:noBreakHyphen/>
        <w:t>risk measures typically focus on financial institutions and balance</w:t>
      </w:r>
      <w:r w:rsidR="00C31423" w:rsidRPr="00C31423">
        <w:noBreakHyphen/>
        <w:t>sheet interlinkages, rather than on how changes in index composition reshape aggregate equity risk. </w:t>
      </w:r>
      <w:r w:rsidRPr="00292F08">
        <w:t>This motivates the need to go beyond weight-based concentration metrics and to reconceptualize concentration as a structural state variable</w:t>
      </w:r>
      <w:r w:rsidR="00C31423">
        <w:t xml:space="preserve"> of the equity market</w:t>
      </w:r>
      <w:r w:rsidRPr="00292F08">
        <w:t>.</w:t>
      </w:r>
    </w:p>
    <w:p w14:paraId="24F6D0DC" w14:textId="77777777" w:rsidR="00FA40C2" w:rsidRPr="00292F08" w:rsidRDefault="00000000">
      <w:pPr>
        <w:pStyle w:val="Heading2"/>
      </w:pPr>
      <w:bookmarkStart w:id="4" w:name="X8cd46b0027c63cb7eb86fefe9db2d15732ce2cf"/>
      <w:bookmarkEnd w:id="3"/>
      <w:r w:rsidRPr="00292F08">
        <w:lastRenderedPageBreak/>
        <w:t>From Concentration as a Cross-Sectional Fact to a Structural State Variable</w:t>
      </w:r>
    </w:p>
    <w:p w14:paraId="2BB750AE" w14:textId="77777777" w:rsidR="00FA40C2" w:rsidRPr="00292F08" w:rsidRDefault="00000000">
      <w:pPr>
        <w:pStyle w:val="FirstParagraph"/>
      </w:pPr>
      <w:r w:rsidRPr="00292F08">
        <w:t xml:space="preserve">The most widely used notion of concentration in equity indices is </w:t>
      </w:r>
      <w:r w:rsidRPr="00292F08">
        <w:rPr>
          <w:b/>
          <w:bCs/>
        </w:rPr>
        <w:t>capital concentration</w:t>
      </w:r>
      <w:r w:rsidRPr="00292F08">
        <w:t>, i.e., the dispersion of index weights across constituents. In a capitalization-weighted benchmark, this dimension is mechanically linked to the cross-sectional distribution of market caps and is easily measured through top‑</w:t>
      </w:r>
      <m:oMath>
        <m:r>
          <w:rPr>
            <w:rFonts w:ascii="Cambria Math" w:hAnsi="Cambria Math"/>
          </w:rPr>
          <m:t>N</m:t>
        </m:r>
      </m:oMath>
      <w:r w:rsidRPr="00292F08">
        <w:t xml:space="preserve"> shares or </w:t>
      </w:r>
      <w:commentRangeStart w:id="5"/>
      <w:r w:rsidRPr="00292F08">
        <w:t>HHI statistics</w:t>
      </w:r>
      <w:commentRangeEnd w:id="5"/>
      <w:r w:rsidR="00620736" w:rsidRPr="00292F08">
        <w:rPr>
          <w:rStyle w:val="CommentReference"/>
          <w:sz w:val="24"/>
          <w:szCs w:val="24"/>
        </w:rPr>
        <w:commentReference w:id="5"/>
      </w:r>
      <w:r w:rsidRPr="00292F08">
        <w:t xml:space="preserve">. Index-provider research often uses HHI-based metrics (including variants adjusted for the number of names in a group) to compare concentration across sectors and over time. </w:t>
      </w:r>
      <w:hyperlink r:id="rId15">
        <w:r w:rsidR="00FA40C2" w:rsidRPr="00292F08">
          <w:rPr>
            <w:rStyle w:val="Hyperlink"/>
          </w:rPr>
          <w:t>[2]</w:t>
        </w:r>
      </w:hyperlink>
      <w:r w:rsidRPr="00292F08">
        <w:t xml:space="preserve"> Yet a weights-only view is limited as a foundation for systemic-risk analysis, because systemic fragility is ultimately a property of the aggregate return process and its tail behavior, not solely of the cross-sectional allocation of capital.</w:t>
      </w:r>
    </w:p>
    <w:p w14:paraId="329EE500" w14:textId="77777777" w:rsidR="00FA40C2" w:rsidRPr="00292F08" w:rsidRDefault="00000000">
      <w:pPr>
        <w:pStyle w:val="BodyText"/>
      </w:pPr>
      <w:r w:rsidRPr="00292F08">
        <w:t xml:space="preserve">This dissertation therefore treats “concentration” as a </w:t>
      </w:r>
      <w:r w:rsidRPr="00292F08">
        <w:rPr>
          <w:b/>
          <w:bCs/>
        </w:rPr>
        <w:t>multi-dimensional</w:t>
      </w:r>
      <w:r w:rsidRPr="00292F08">
        <w:t xml:space="preserve"> object designed to capture distinct mechanisms through which dominance by a few firms can affect aggregate risk and its pricing. The objective is not to create complexity for its own sake, but to isolate channels that can move differently over time and, crucially, can have different implications for tails and dependence regimes.</w:t>
      </w:r>
    </w:p>
    <w:p w14:paraId="14C3F6E9" w14:textId="77777777" w:rsidR="00FA40C2" w:rsidRPr="00292F08" w:rsidRDefault="00000000">
      <w:pPr>
        <w:pStyle w:val="BodyText"/>
      </w:pPr>
      <w:r w:rsidRPr="00292F08">
        <w:t xml:space="preserve">First, </w:t>
      </w:r>
      <w:r w:rsidRPr="00292F08">
        <w:rPr>
          <w:b/>
          <w:bCs/>
        </w:rPr>
        <w:t>capital concentration</w:t>
      </w:r>
      <w:r w:rsidRPr="00292F08">
        <w:t xml:space="preserve"> provides the baseline picture: how unevenly market capitalization is distributed across the index. It matters because it scales the mechanical sensitivity of the index to the dominant firms. However, capital concentration is neither necessary nor sufficient for systemic fragility: aggregate risk also depends on volatility, correlation, and tail behavior.</w:t>
      </w:r>
    </w:p>
    <w:p w14:paraId="3CE40E2E" w14:textId="77777777" w:rsidR="00FA40C2" w:rsidRPr="00292F08" w:rsidRDefault="00000000">
      <w:pPr>
        <w:pStyle w:val="BodyText"/>
      </w:pPr>
      <w:r w:rsidRPr="00292F08">
        <w:t xml:space="preserve">Second, </w:t>
      </w:r>
      <w:r w:rsidRPr="00292F08">
        <w:rPr>
          <w:b/>
          <w:bCs/>
        </w:rPr>
        <w:t>risk concentration</w:t>
      </w:r>
      <w:r w:rsidRPr="00292F08">
        <w:t xml:space="preserve"> shifts attention from weights to how aggregate variance is generated. Even when weights are stable, the share of index variance attributable to a given subset of firms can change sharply as their volatilities and correlations evolve. This dimension is motivated by the basic identity that portfolio variance depends on both weights and the covariance matrix. It directly addresses the question: do the dominant firms also dominate </w:t>
      </w:r>
      <w:r w:rsidRPr="00292F08">
        <w:rPr>
          <w:i/>
          <w:iCs/>
        </w:rPr>
        <w:t>aggregate risk</w:t>
      </w:r>
      <w:r w:rsidRPr="00292F08">
        <w:t>?</w:t>
      </w:r>
    </w:p>
    <w:p w14:paraId="1400C3C5" w14:textId="77777777" w:rsidR="00FA40C2" w:rsidRPr="00292F08" w:rsidRDefault="00000000">
      <w:pPr>
        <w:pStyle w:val="BodyText"/>
      </w:pPr>
      <w:r w:rsidRPr="00292F08">
        <w:t xml:space="preserve">Third, </w:t>
      </w:r>
      <w:r w:rsidRPr="00292F08">
        <w:rPr>
          <w:b/>
          <w:bCs/>
        </w:rPr>
        <w:t>return-space concentration</w:t>
      </w:r>
      <w:r w:rsidRPr="00292F08">
        <w:t xml:space="preserve"> captures dominance in realized dynamics rather than in balance-sheet size. A practical operationalization is the share of index return variation “explained” by a small mega-cap basket (e.g., </w:t>
      </w:r>
      <w:commentRangeStart w:id="6"/>
      <w:r w:rsidRPr="00292F08">
        <w:t xml:space="preserve">via rolling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92F08">
        <w:t xml:space="preserve"> measures</w:t>
      </w:r>
      <w:commentRangeEnd w:id="6"/>
      <w:r w:rsidR="00AB32E3" w:rsidRPr="00292F08">
        <w:rPr>
          <w:rStyle w:val="CommentReference"/>
          <w:sz w:val="24"/>
          <w:szCs w:val="24"/>
        </w:rPr>
        <w:commentReference w:id="6"/>
      </w:r>
      <w:r w:rsidRPr="00292F08">
        <w:t xml:space="preserve">). Conceptually, this is closest to the granular mechanism: it measures the extent to which a small set of firms acts as the effective driver of market outcomes, regardless of whether their weights alone would suggest such dominance. </w:t>
      </w:r>
      <w:commentRangeStart w:id="7"/>
      <w:r w:rsidRPr="00292F08">
        <w:t xml:space="preserve">The granular hypothesis </w:t>
      </w:r>
      <w:commentRangeEnd w:id="7"/>
      <w:r w:rsidR="00620736" w:rsidRPr="00292F08">
        <w:rPr>
          <w:rStyle w:val="CommentReference"/>
          <w:sz w:val="24"/>
          <w:szCs w:val="24"/>
        </w:rPr>
        <w:commentReference w:id="7"/>
      </w:r>
      <w:r w:rsidRPr="00292F08">
        <w:t xml:space="preserve">provides the economic logic for why such a measure can be relevant for aggregate fluctuations when the size distribution is skewed. </w:t>
      </w:r>
      <w:hyperlink r:id="rId16">
        <w:r w:rsidR="00FA40C2" w:rsidRPr="00292F08">
          <w:rPr>
            <w:rStyle w:val="Hyperlink"/>
          </w:rPr>
          <w:t>[4]</w:t>
        </w:r>
      </w:hyperlink>
    </w:p>
    <w:p w14:paraId="7C6313DC" w14:textId="77777777" w:rsidR="00FA40C2" w:rsidRPr="00292F08" w:rsidRDefault="00000000">
      <w:pPr>
        <w:pStyle w:val="BodyText"/>
      </w:pPr>
      <w:r w:rsidRPr="00292F08">
        <w:t xml:space="preserve">Fourth, </w:t>
      </w:r>
      <w:r w:rsidRPr="00292F08">
        <w:rPr>
          <w:b/>
          <w:bCs/>
        </w:rPr>
        <w:t>dependence concentration</w:t>
      </w:r>
      <w:r w:rsidRPr="00292F08">
        <w:t xml:space="preserve"> focuses on the structure and dynamics of co-movement across constituents. Systemic events in equity markets are typically characterized by sharp increases in correlations and the collapse of diversification. A parsimonious summary is the dominance of the “market mode” in the correlation matrix, </w:t>
      </w:r>
      <w:r w:rsidRPr="00292F08">
        <w:lastRenderedPageBreak/>
        <w:t xml:space="preserve">often proxied by the share of the first eigenvalue. A complementary time-series approach models time-varying correlations directly using Dynamic Conditional Correlation (DCC) models, originally proposed to provide flexible correlation dynamics without the parameter explosion of conventional multivariate GARCH. </w:t>
      </w:r>
      <w:hyperlink r:id="rId17">
        <w:r w:rsidR="00FA40C2" w:rsidRPr="00292F08">
          <w:rPr>
            <w:rStyle w:val="Hyperlink"/>
          </w:rPr>
          <w:t>[5]</w:t>
        </w:r>
      </w:hyperlink>
    </w:p>
    <w:p w14:paraId="7FFDE112" w14:textId="77777777" w:rsidR="00FA40C2" w:rsidRPr="00292F08" w:rsidRDefault="00000000">
      <w:pPr>
        <w:pStyle w:val="BodyText"/>
      </w:pPr>
      <w:r w:rsidRPr="00292F08">
        <w:t xml:space="preserve">These four dimensions motivate the introduction of a </w:t>
      </w:r>
      <w:r w:rsidRPr="00292F08">
        <w:rPr>
          <w:b/>
          <w:bCs/>
        </w:rPr>
        <w:t>Concentration State Index (CSI)</w:t>
      </w:r>
      <w:r w:rsidRPr="00292F08">
        <w:t xml:space="preserve">. The CSI is envisaged as a parsimonious summary statistic synthesizing capital, risk, return-space, and dependence concentration into a single state variable. Its purpose is methodological discipline: rather than treating concentration as a single ad hoc statistic, the CSI formalizes the idea that “concentration” is a latent state with multiple observables, and it creates a coherent conditioning variable for both econometric analysis of realized outcomes and option-implied analysis of risk-neutral tails. This motivates the next section, which clarifies why systemic fragility must be studied simultaneously under the physical measure </w:t>
      </w:r>
      <m:oMath>
        <m:r>
          <w:rPr>
            <w:rFonts w:ascii="Cambria Math" w:hAnsi="Cambria Math"/>
          </w:rPr>
          <m:t>P</m:t>
        </m:r>
      </m:oMath>
      <w:r w:rsidRPr="00292F08">
        <w:t xml:space="preserve"> and the risk-neutral measure </w:t>
      </w:r>
      <m:oMath>
        <m:r>
          <w:rPr>
            <w:rFonts w:ascii="Cambria Math" w:hAnsi="Cambria Math"/>
          </w:rPr>
          <m:t>Q</m:t>
        </m:r>
      </m:oMath>
      <w:r w:rsidRPr="00292F08">
        <w:t>.</w:t>
      </w:r>
    </w:p>
    <w:p w14:paraId="49B05D02" w14:textId="77777777" w:rsidR="00FA40C2" w:rsidRPr="00292F08" w:rsidRDefault="00000000">
      <w:pPr>
        <w:pStyle w:val="Heading2"/>
      </w:pPr>
      <w:bookmarkStart w:id="8" w:name="X330db19ac6aaf140a82b3aadc1f04e6309615a7"/>
      <w:bookmarkEnd w:id="4"/>
      <w:r w:rsidRPr="00292F08">
        <w:t>Physical vs Risk-Neutral Perspectives on Systemic Risk</w:t>
      </w:r>
    </w:p>
    <w:p w14:paraId="0DECFE1B" w14:textId="77777777" w:rsidR="00FA40C2" w:rsidRPr="00292F08" w:rsidRDefault="00000000">
      <w:pPr>
        <w:pStyle w:val="FirstParagraph"/>
      </w:pPr>
      <w:r w:rsidRPr="00292F08">
        <w:t xml:space="preserve">Systemic fragility is inherently a distributional concept. In equity markets, the relevant objects are not confined to average volatility; they include </w:t>
      </w:r>
      <w:commentRangeStart w:id="9"/>
      <w:r w:rsidRPr="00292F08">
        <w:t xml:space="preserve">downside quantiles, drawdowns, and correlation spikes </w:t>
      </w:r>
      <w:commentRangeEnd w:id="9"/>
      <w:r w:rsidR="00D7366E" w:rsidRPr="00292F08">
        <w:rPr>
          <w:rStyle w:val="CommentReference"/>
          <w:sz w:val="24"/>
          <w:szCs w:val="24"/>
        </w:rPr>
        <w:commentReference w:id="9"/>
      </w:r>
      <w:r w:rsidRPr="00292F08">
        <w:t xml:space="preserve">that occur disproportionately during stress episodes. A key organizing principle of this dissertation is therefore the distinction between the </w:t>
      </w:r>
      <w:r w:rsidRPr="00292F08">
        <w:rPr>
          <w:b/>
          <w:bCs/>
        </w:rPr>
        <w:t xml:space="preserve">physical probability measure </w:t>
      </w:r>
      <m:oMath>
        <m:r>
          <w:rPr>
            <w:rFonts w:ascii="Cambria Math" w:hAnsi="Cambria Math"/>
          </w:rPr>
          <m:t>P</m:t>
        </m:r>
      </m:oMath>
      <w:r w:rsidRPr="00292F08">
        <w:t xml:space="preserve">—the statistical distribution governing realized outcomes—and the </w:t>
      </w:r>
      <w:r w:rsidRPr="00292F08">
        <w:rPr>
          <w:b/>
          <w:bCs/>
        </w:rPr>
        <w:t xml:space="preserve">risk-neutral measure </w:t>
      </w:r>
      <m:oMath>
        <m:r>
          <w:rPr>
            <w:rFonts w:ascii="Cambria Math" w:hAnsi="Cambria Math"/>
          </w:rPr>
          <m:t>Q</m:t>
        </m:r>
      </m:oMath>
      <w:r w:rsidRPr="00292F08">
        <w:t>—the probability measure that prices derivatives under no-arbitrage. Although the distinction is standard in asset pricing, it is essential for interpreting the economics of concentration: concentration may change realized tail risk, the pricing of tail risk, or both.</w:t>
      </w:r>
    </w:p>
    <w:p w14:paraId="57DD0642" w14:textId="77777777" w:rsidR="00FA40C2" w:rsidRPr="00292F08" w:rsidRDefault="00000000">
      <w:pPr>
        <w:pStyle w:val="BodyText"/>
      </w:pPr>
      <w:r w:rsidRPr="00292F08">
        <w:t xml:space="preserve">Under the physical measure </w:t>
      </w:r>
      <m:oMath>
        <m:r>
          <w:rPr>
            <w:rFonts w:ascii="Cambria Math" w:hAnsi="Cambria Math"/>
          </w:rPr>
          <m:t>P</m:t>
        </m:r>
      </m:oMath>
      <w:r w:rsidRPr="00292F08">
        <w:t xml:space="preserve">, the dissertation focuses on realized objects that correspond naturally to systemic fragility in an index setting: realized volatility dynamics, downside risk metrics, drawdown behavior, and indicators of dependence breakdown such as correlation spikes. The granular hypothesis provides the intuition for why concentration can matter in </w:t>
      </w:r>
      <m:oMath>
        <m:r>
          <w:rPr>
            <w:rFonts w:ascii="Cambria Math" w:hAnsi="Cambria Math"/>
          </w:rPr>
          <m:t>P</m:t>
        </m:r>
      </m:oMath>
      <w:r w:rsidRPr="00292F08">
        <w:t xml:space="preserve">: when firm size is sufficiently skewed, shocks to the largest firms can propagate into the aggregate, so that part of the “market shock” is effectively granular. </w:t>
      </w:r>
      <w:hyperlink r:id="rId18">
        <w:r w:rsidR="00FA40C2" w:rsidRPr="00292F08">
          <w:rPr>
            <w:rStyle w:val="Hyperlink"/>
          </w:rPr>
          <w:t>[6]</w:t>
        </w:r>
      </w:hyperlink>
      <w:r w:rsidRPr="00292F08">
        <w:t xml:space="preserve"> Dependence concentration matters here as well: even if single-name dispersion is high in normal times, systemic events often involve a rapid tightening of correlations and the dominance of a market mode—hence the importance of eigenvalue share measures and DCC-style correlation dynamics. </w:t>
      </w:r>
      <w:hyperlink r:id="rId19">
        <w:r w:rsidR="00FA40C2" w:rsidRPr="00292F08">
          <w:rPr>
            <w:rStyle w:val="Hyperlink"/>
          </w:rPr>
          <w:t>[5]</w:t>
        </w:r>
      </w:hyperlink>
    </w:p>
    <w:p w14:paraId="5545F182" w14:textId="77777777" w:rsidR="00FA40C2" w:rsidRPr="00292F08" w:rsidRDefault="00000000">
      <w:pPr>
        <w:pStyle w:val="BodyText"/>
      </w:pPr>
      <w:r w:rsidRPr="00292F08">
        <w:t xml:space="preserve">Under the risk-neutral measure </w:t>
      </w:r>
      <m:oMath>
        <m:r>
          <w:rPr>
            <w:rFonts w:ascii="Cambria Math" w:hAnsi="Cambria Math"/>
          </w:rPr>
          <m:t>Q</m:t>
        </m:r>
      </m:oMath>
      <w:r w:rsidRPr="00292F08">
        <w:t xml:space="preserve">, the dissertation leverages equity index option prices to infer forward-looking distributional risk, including risk-neutral variance, skewness, kurtosis, and tail probabilities. The foundational insight is that option prices embed information about state prices and the risk-neutral distribution. Breeden and Litzenberger (1978) formalized the identification of state-contingent claim prices—and, under regularity conditions, the risk-neutral density—from the cross-section of European option prices via </w:t>
      </w:r>
      <w:r w:rsidRPr="00292F08">
        <w:lastRenderedPageBreak/>
        <w:t xml:space="preserve">derivatives with respect to strike. </w:t>
      </w:r>
      <w:hyperlink r:id="rId20">
        <w:r w:rsidR="00FA40C2" w:rsidRPr="00292F08">
          <w:rPr>
            <w:rStyle w:val="Hyperlink"/>
          </w:rPr>
          <w:t>[7]</w:t>
        </w:r>
      </w:hyperlink>
      <w:r w:rsidRPr="00292F08">
        <w:t xml:space="preserve"> This principle underlies much of the empirical extraction of risk-neutral moments and tails from option surfaces.</w:t>
      </w:r>
    </w:p>
    <w:p w14:paraId="774EF8C4" w14:textId="77777777" w:rsidR="00FA40C2" w:rsidRPr="00292F08" w:rsidRDefault="00000000">
      <w:pPr>
        <w:pStyle w:val="BodyText"/>
      </w:pPr>
      <w:r w:rsidRPr="00292F08">
        <w:t xml:space="preserve">A practical and widely used risk-neutral object is option-implied variance. The Cboe Volatility Index (VIX) is designed to measure the market’s expectation of 30-day forward-looking volatility conveyed by S&amp;P 500 option prices, providing a canonical example of model-free aggregation of option data into a forward-looking variance measure. </w:t>
      </w:r>
      <w:hyperlink r:id="rId21">
        <w:r w:rsidR="00FA40C2" w:rsidRPr="00292F08">
          <w:rPr>
            <w:rStyle w:val="Hyperlink"/>
          </w:rPr>
          <w:t>[8]</w:t>
        </w:r>
      </w:hyperlink>
      <w:r w:rsidRPr="00292F08">
        <w:t xml:space="preserve"> More generally, option-based quantities such as variance swap rates are motivated by replication results showing that a variance payoff can be replicated (under idealized assumptions) using a portfolio of out-of-the-money options across strikes; this replication logic provides a foundation for model-free implied variance measures. </w:t>
      </w:r>
      <w:hyperlink r:id="rId22">
        <w:r w:rsidR="00FA40C2" w:rsidRPr="00292F08">
          <w:rPr>
            <w:rStyle w:val="Hyperlink"/>
          </w:rPr>
          <w:t>[9]</w:t>
        </w:r>
      </w:hyperlink>
    </w:p>
    <w:p w14:paraId="2BAA70AA" w14:textId="77777777" w:rsidR="00FA40C2" w:rsidRPr="00292F08" w:rsidRDefault="00000000">
      <w:pPr>
        <w:pStyle w:val="BodyText"/>
      </w:pPr>
      <w:r w:rsidRPr="00292F08">
        <w:t xml:space="preserve">The bridge between </w:t>
      </w:r>
      <m:oMath>
        <m:r>
          <w:rPr>
            <w:rFonts w:ascii="Cambria Math" w:hAnsi="Cambria Math"/>
          </w:rPr>
          <m:t>P</m:t>
        </m:r>
      </m:oMath>
      <w:r w:rsidRPr="00292F08">
        <w:t xml:space="preserve"> and </w:t>
      </w:r>
      <m:oMath>
        <m:r>
          <w:rPr>
            <w:rFonts w:ascii="Cambria Math" w:hAnsi="Cambria Math"/>
          </w:rPr>
          <m:t>Q</m:t>
        </m:r>
      </m:oMath>
      <w:r w:rsidRPr="00292F08">
        <w:t xml:space="preserve"> is the set of </w:t>
      </w:r>
      <w:r w:rsidRPr="00292F08">
        <w:rPr>
          <w:b/>
          <w:bCs/>
        </w:rPr>
        <w:t>risk premia</w:t>
      </w:r>
      <w:r w:rsidRPr="00292F08">
        <w:t xml:space="preserve"> embedded in options. A central object is the </w:t>
      </w:r>
      <w:r w:rsidRPr="00292F08">
        <w:rPr>
          <w:b/>
          <w:bCs/>
        </w:rPr>
        <w:t>variance risk premium (VRP)</w:t>
      </w:r>
      <w:r w:rsidRPr="00292F08">
        <w:t xml:space="preserve">, defined loosely as the difference between risk-neutral expected variance and expected realized variance over the same horizon. Bollerslev, Tauchen, and Zhou (2009) provide canonical evidence that the variance risk premium contains information about expected stock returns and exhibits strong predictive power at intermediate horizons. </w:t>
      </w:r>
      <w:hyperlink r:id="rId23">
        <w:r w:rsidR="00FA40C2" w:rsidRPr="00292F08">
          <w:rPr>
            <w:rStyle w:val="Hyperlink"/>
          </w:rPr>
          <w:t>[10]</w:t>
        </w:r>
      </w:hyperlink>
      <w:r w:rsidRPr="00292F08">
        <w:t xml:space="preserve"> This result motivates the VRP as a baseline premium in the dissertation’s option-based analysis: if concentration is priced in options, it may do so by shifting the VRP.</w:t>
      </w:r>
    </w:p>
    <w:p w14:paraId="44B0EE2B" w14:textId="4039C0D5" w:rsidR="00FA40C2" w:rsidRPr="00292F08" w:rsidRDefault="00000000">
      <w:pPr>
        <w:pStyle w:val="BodyText"/>
      </w:pPr>
      <w:r w:rsidRPr="00292F08">
        <w:t xml:space="preserve">However, a growing literature emphasizes that volatility does not exhaust the information in option surfaces—particularly in the left tail. The key conceptual piece for this dissertation is the evidence that priced left-tail risk can vary independently of volatility. Andersen, Fusari, and Todorov (2015) study a large panel of S&amp;P 500 index options and conclude that priced left-tail risk cannot be spanned by market volatility (and its components), introducing a tail factor that is critical for predicting future equity and variance risk premia. </w:t>
      </w:r>
      <w:hyperlink r:id="rId24">
        <w:r w:rsidR="00FA40C2" w:rsidRPr="00292F08">
          <w:rPr>
            <w:rStyle w:val="Hyperlink"/>
          </w:rPr>
          <w:t>[11]</w:t>
        </w:r>
      </w:hyperlink>
      <w:r w:rsidRPr="00292F08">
        <w:t xml:space="preserve"> Complementary empirical work on tail risk premia and fear components in options reinforces the view that risk-neutral tails contain economically meaningful variation beyond variance and that this variation is closely linked to risk premia. </w:t>
      </w:r>
      <w:hyperlink r:id="rId25">
        <w:r w:rsidR="00FA40C2" w:rsidRPr="00292F08">
          <w:rPr>
            <w:rStyle w:val="Hyperlink"/>
          </w:rPr>
          <w:t>[12]</w:t>
        </w:r>
      </w:hyperlink>
    </w:p>
    <w:p w14:paraId="52ADBB3E" w14:textId="77777777" w:rsidR="00FA40C2" w:rsidRPr="00292F08" w:rsidRDefault="00000000">
      <w:pPr>
        <w:pStyle w:val="BodyText"/>
      </w:pPr>
      <w:r w:rsidRPr="00292F08">
        <w:t xml:space="preserve">These insights motivate a central conjecture of the dissertation: concentration may be priced in </w:t>
      </w:r>
      <m:oMath>
        <m:r>
          <w:rPr>
            <w:rFonts w:ascii="Cambria Math" w:hAnsi="Cambria Math"/>
          </w:rPr>
          <m:t>Q</m:t>
        </m:r>
      </m:oMath>
      <w:r w:rsidRPr="00292F08">
        <w:t xml:space="preserve"> </w:t>
      </w:r>
      <w:r w:rsidRPr="00292F08">
        <w:rPr>
          <w:b/>
          <w:bCs/>
        </w:rPr>
        <w:t>primarily through the left tail</w:t>
      </w:r>
      <w:r w:rsidRPr="00292F08">
        <w:t xml:space="preserve">, rather than through variance alone. Intuitively, when the index becomes top-heavy, the aggregate left tail may be increasingly shaped by a small set of dominant firms, whose news-driven jump risks and sectoral exposures can generate discontinuous index moves. If such states correspond to periods of high marginal utility for investors, option prices should reflect higher state prices for large market declines, steepening the risk-neutral left tail. </w:t>
      </w:r>
      <w:r w:rsidRPr="00292F08">
        <w:rPr>
          <w:highlight w:val="yellow"/>
        </w:rPr>
        <w:t>The dissertation’s option-based analysis is designed to test this conjecture directly by conditioning risk-neutral moments and tail measures on the CSI and by evaluating whether concentration predicts tail-premium-like objects beyond the VRP benchmark.</w:t>
      </w:r>
    </w:p>
    <w:p w14:paraId="6DF50845" w14:textId="77777777" w:rsidR="00FA40C2" w:rsidRPr="00292F08" w:rsidRDefault="00000000">
      <w:pPr>
        <w:pStyle w:val="BodyText"/>
      </w:pPr>
      <w:r w:rsidRPr="00292F08">
        <w:t xml:space="preserve">This dual </w:t>
      </w:r>
      <m:oMath>
        <m:r>
          <w:rPr>
            <w:rFonts w:ascii="Cambria Math" w:hAnsi="Cambria Math"/>
          </w:rPr>
          <m:t>P</m:t>
        </m:r>
      </m:oMath>
      <w:r w:rsidRPr="00292F08">
        <w:t xml:space="preserve"> versus </w:t>
      </w:r>
      <m:oMath>
        <m:r>
          <w:rPr>
            <w:rFonts w:ascii="Cambria Math" w:hAnsi="Cambria Math"/>
          </w:rPr>
          <m:t>Q</m:t>
        </m:r>
      </m:oMath>
      <w:r w:rsidRPr="00292F08">
        <w:t xml:space="preserve"> perspective sets up the dissertation’s precise research questions and clarifies its intended contributions.</w:t>
      </w:r>
    </w:p>
    <w:p w14:paraId="6C4B3B98" w14:textId="77777777" w:rsidR="00FA40C2" w:rsidRPr="00292F08" w:rsidRDefault="00000000">
      <w:pPr>
        <w:pStyle w:val="Heading2"/>
      </w:pPr>
      <w:bookmarkStart w:id="10" w:name="research-questions-and-contributions"/>
      <w:bookmarkEnd w:id="8"/>
      <w:r w:rsidRPr="00292F08">
        <w:lastRenderedPageBreak/>
        <w:t>Research Questions and Contributions</w:t>
      </w:r>
    </w:p>
    <w:p w14:paraId="1D3A323A" w14:textId="77777777" w:rsidR="00FA40C2" w:rsidRPr="00292F08" w:rsidRDefault="00000000">
      <w:pPr>
        <w:pStyle w:val="FirstParagraph"/>
      </w:pPr>
      <w:r w:rsidRPr="00292F08">
        <w:t>This dissertation is organized around the proposition that equity market concentration is a structural state variable that jointly affects realized systemic fragility and the risk-neutral pricing of tail states. The empirical program is designed to answer three central research questions.</w:t>
      </w:r>
    </w:p>
    <w:p w14:paraId="5CA5A639" w14:textId="77777777" w:rsidR="00FA40C2" w:rsidRPr="00292F08" w:rsidRDefault="00000000">
      <w:pPr>
        <w:pStyle w:val="BodyText"/>
      </w:pPr>
      <w:r w:rsidRPr="00292F08">
        <w:t xml:space="preserve">The first question asks when concentration becomes systemically relevant for the market index: </w:t>
      </w:r>
      <w:r w:rsidRPr="00292F08">
        <w:rPr>
          <w:b/>
          <w:bCs/>
        </w:rPr>
        <w:t>When does equity market concentration become systemically relevant for the S&amp;P 500?</w:t>
      </w:r>
      <w:r w:rsidRPr="00292F08">
        <w:t xml:space="preserve"> This question focuses on the physical measure </w:t>
      </w:r>
      <m:oMath>
        <m:r>
          <w:rPr>
            <w:rFonts w:ascii="Cambria Math" w:hAnsi="Cambria Math"/>
          </w:rPr>
          <m:t>P</m:t>
        </m:r>
      </m:oMath>
      <w:r w:rsidRPr="00292F08">
        <w:t xml:space="preserve"> and targets realized downside risk, drawdowns, and dependence breakdowns. It is motivated by the granular insight that large firms’ shocks can matter in the aggregate when concentration is high. </w:t>
      </w:r>
      <w:hyperlink r:id="rId26">
        <w:r w:rsidR="00FA40C2" w:rsidRPr="00292F08">
          <w:rPr>
            <w:rStyle w:val="Hyperlink"/>
          </w:rPr>
          <w:t>[6]</w:t>
        </w:r>
      </w:hyperlink>
    </w:p>
    <w:p w14:paraId="59E6B9AA" w14:textId="77777777" w:rsidR="00FA40C2" w:rsidRPr="00292F08" w:rsidRDefault="00000000">
      <w:pPr>
        <w:pStyle w:val="BodyText"/>
      </w:pPr>
      <w:r w:rsidRPr="00292F08">
        <w:t xml:space="preserve">The second question asks through which margin concentration matters: </w:t>
      </w:r>
      <w:r w:rsidRPr="00292F08">
        <w:rPr>
          <w:b/>
          <w:bCs/>
        </w:rPr>
        <w:t>Does concentration primarily affect volatility, or the shape of the left tail and correlation regimes?</w:t>
      </w:r>
      <w:r w:rsidRPr="00292F08">
        <w:t xml:space="preserve"> A purely variance-based perspective would conclude that concentration is important only insofar as it raises realized volatility. Yet systemic fragility is often a tail-and-dependence phenomenon: two states can exhibit similar average volatility while differing dramatically in crash probabilities and correlation spikes. This question therefore targets distributional shape (tail thickness, skewness) and dependence regime behavior (eigenvalue dominance and DCC-based correlation dynamics). </w:t>
      </w:r>
      <w:hyperlink r:id="rId27">
        <w:r w:rsidR="00FA40C2" w:rsidRPr="00292F08">
          <w:rPr>
            <w:rStyle w:val="Hyperlink"/>
          </w:rPr>
          <w:t>[5]</w:t>
        </w:r>
      </w:hyperlink>
    </w:p>
    <w:p w14:paraId="036D8A40" w14:textId="77777777" w:rsidR="00FA40C2" w:rsidRPr="00292F08" w:rsidRDefault="00000000">
      <w:pPr>
        <w:pStyle w:val="BodyText"/>
      </w:pPr>
      <w:r w:rsidRPr="00292F08">
        <w:t xml:space="preserve">The third question turns to option markets and the pricing of adverse states: </w:t>
      </w:r>
      <w:r w:rsidRPr="00292F08">
        <w:rPr>
          <w:b/>
          <w:bCs/>
        </w:rPr>
        <w:t>Is there a concentration-linked tail premium in index options, distinct from the variance risk premium?</w:t>
      </w:r>
      <w:r w:rsidRPr="00292F08">
        <w:t xml:space="preserve"> The VRP literature shows that option-implied variance contains predictive information for returns. </w:t>
      </w:r>
      <w:hyperlink r:id="rId28">
        <w:r w:rsidR="00FA40C2" w:rsidRPr="00292F08">
          <w:rPr>
            <w:rStyle w:val="Hyperlink"/>
          </w:rPr>
          <w:t>[10]</w:t>
        </w:r>
      </w:hyperlink>
      <w:r w:rsidRPr="00292F08">
        <w:t xml:space="preserve"> The tail-premium literature suggests that priced left-tail risk is not spanned by volatility and is crucial for explaining option-implied premia. </w:t>
      </w:r>
      <w:hyperlink r:id="rId29">
        <w:r w:rsidR="00FA40C2" w:rsidRPr="00292F08">
          <w:rPr>
            <w:rStyle w:val="Hyperlink"/>
          </w:rPr>
          <w:t>[13]</w:t>
        </w:r>
      </w:hyperlink>
      <w:r w:rsidRPr="00292F08">
        <w:t xml:space="preserve"> This question seeks to quantify whether concentration systematically conditions risk-neutral tails and the pricing of crash states—over and above what can be explained by variance risk premia.</w:t>
      </w:r>
    </w:p>
    <w:p w14:paraId="1C5D6469" w14:textId="77777777" w:rsidR="00FA40C2" w:rsidRPr="00292F08" w:rsidRDefault="00000000">
      <w:pPr>
        <w:pStyle w:val="BodyText"/>
      </w:pPr>
      <w:r w:rsidRPr="00292F08">
        <w:t>These research questions map into three contributions.</w:t>
      </w:r>
    </w:p>
    <w:p w14:paraId="45E1DB99" w14:textId="77777777" w:rsidR="00FA40C2" w:rsidRPr="00292F08" w:rsidRDefault="00000000">
      <w:pPr>
        <w:pStyle w:val="BodyText"/>
      </w:pPr>
      <w:r w:rsidRPr="00292F08">
        <w:t xml:space="preserve">First, the dissertation proposes a disciplined empirical framework for measuring concentration as a structural state variable through a </w:t>
      </w:r>
      <w:r w:rsidRPr="00292F08">
        <w:rPr>
          <w:b/>
          <w:bCs/>
        </w:rPr>
        <w:t>Concentration State Index (CSI)</w:t>
      </w:r>
      <w:r w:rsidRPr="00292F08">
        <w:t>. The CSI explicitly separates capital concentration, risk concentration, return-space concentration, and dependence concentration, providing a conceptual and measurement framework that goes beyond the standard “concentration equals weights” approach.</w:t>
      </w:r>
    </w:p>
    <w:p w14:paraId="04B2530E" w14:textId="77777777" w:rsidR="00FA40C2" w:rsidRPr="00292F08" w:rsidRDefault="00000000">
      <w:pPr>
        <w:pStyle w:val="BodyText"/>
      </w:pPr>
      <w:r w:rsidRPr="00292F08">
        <w:t>Second, the dissertation provides evidence that CSI functions as a state variable for systemic fragility in the physical measure: it is designed to forecast and characterize periods associated with greater downside risk, more severe drawdowns, and more pronounced correlation spikes, using econometric tools that directly target dynamics and tails.</w:t>
      </w:r>
    </w:p>
    <w:p w14:paraId="4828E4BA" w14:textId="77777777" w:rsidR="00FA40C2" w:rsidRPr="00292F08" w:rsidRDefault="00000000">
      <w:pPr>
        <w:pStyle w:val="BodyText"/>
      </w:pPr>
      <w:r w:rsidRPr="00292F08">
        <w:lastRenderedPageBreak/>
        <w:t xml:space="preserve">Third, the dissertation provides evidence on how CSI conditions risk-neutral tails and premia in index options. </w:t>
      </w:r>
      <w:commentRangeStart w:id="11"/>
      <w:r w:rsidRPr="00292F08">
        <w:t xml:space="preserve">The aim is to establish whether concentration shifts the risk-neutral distribution and whether this shift manifests primarily in left-tail objects that cannot be spanned by volatility, consistent with the tail-factor evidence from index option surfaces. </w:t>
      </w:r>
      <w:commentRangeEnd w:id="11"/>
      <w:r w:rsidR="00FF3E51">
        <w:rPr>
          <w:rStyle w:val="CommentReference"/>
          <w:sz w:val="24"/>
          <w:szCs w:val="24"/>
        </w:rPr>
        <w:commentReference w:id="11"/>
      </w:r>
      <w:hyperlink r:id="rId30">
        <w:r w:rsidR="00FA40C2" w:rsidRPr="00292F08">
          <w:rPr>
            <w:rStyle w:val="Hyperlink"/>
          </w:rPr>
          <w:t>[13]</w:t>
        </w:r>
      </w:hyperlink>
    </w:p>
    <w:p w14:paraId="63DB8697" w14:textId="77777777" w:rsidR="00FA40C2" w:rsidRPr="00292F08" w:rsidRDefault="00000000">
      <w:pPr>
        <w:pStyle w:val="BodyText"/>
      </w:pPr>
      <w:commentRangeStart w:id="12"/>
      <w:r w:rsidRPr="00292F08">
        <w:t xml:space="preserve">A distinctive aspect of the dissertation’s positioning is its deliberate bridge across three literatures that are often treated separately. The granular hypothesis provides a mechanism linking concentration to aggregate fluctuations. </w:t>
      </w:r>
      <w:hyperlink r:id="rId31">
        <w:r w:rsidR="00FA40C2" w:rsidRPr="00292F08">
          <w:rPr>
            <w:rStyle w:val="Hyperlink"/>
          </w:rPr>
          <w:t>[4]</w:t>
        </w:r>
      </w:hyperlink>
      <w:r w:rsidRPr="00292F08">
        <w:t xml:space="preserve"> The systemic risk literature provides a conceptual vocabulary for tail dependence and conditional distress, as formalized by measures such as CoVaR and SRISK. CoVaR defines systemic tail risk as the system’s value-at-risk conditional on an institution being in distress relative to a benchmark state, highlighting tail dependence as the core systemic object. </w:t>
      </w:r>
      <w:hyperlink r:id="rId32">
        <w:r w:rsidR="00FA40C2" w:rsidRPr="00292F08">
          <w:rPr>
            <w:rStyle w:val="Hyperlink"/>
          </w:rPr>
          <w:t>[14]</w:t>
        </w:r>
      </w:hyperlink>
      <w:r w:rsidRPr="00292F08">
        <w:t xml:space="preserve"> SRISK measures expected capital shortfall conditional on a severe market decline and ties systemic importance to size, leverage, and risk. </w:t>
      </w:r>
      <w:hyperlink r:id="rId33">
        <w:r w:rsidR="00FA40C2" w:rsidRPr="00292F08">
          <w:rPr>
            <w:rStyle w:val="Hyperlink"/>
          </w:rPr>
          <w:t>[15]</w:t>
        </w:r>
      </w:hyperlink>
      <w:r w:rsidRPr="00292F08">
        <w:t xml:space="preserve"> Finally, the option-implied premia literature shows that variance risk premia and tail risk premia are distinct and that the left tail contains pricing-relevant variation beyond volatility. </w:t>
      </w:r>
      <w:hyperlink r:id="rId34">
        <w:r w:rsidR="00FA40C2" w:rsidRPr="00292F08">
          <w:rPr>
            <w:rStyle w:val="Hyperlink"/>
          </w:rPr>
          <w:t>[16]</w:t>
        </w:r>
      </w:hyperlink>
      <w:r w:rsidRPr="00292F08">
        <w:t xml:space="preserve"> The dissertation’s gap claim is that concentration has rarely been integrated into a unified </w:t>
      </w:r>
      <m:oMath>
        <m:r>
          <w:rPr>
            <w:rFonts w:ascii="Cambria Math" w:hAnsi="Cambria Math"/>
          </w:rPr>
          <m:t>P</m:t>
        </m:r>
      </m:oMath>
      <w:r w:rsidRPr="00292F08">
        <w:t>–</w:t>
      </w:r>
      <m:oMath>
        <m:r>
          <w:rPr>
            <w:rFonts w:ascii="Cambria Math" w:hAnsi="Cambria Math"/>
          </w:rPr>
          <m:t>Q</m:t>
        </m:r>
      </m:oMath>
      <w:r w:rsidRPr="00292F08">
        <w:t xml:space="preserve"> framework in which concentration is treated as a structural state variable that shapes both realized fragility and the pricing of crash states.</w:t>
      </w:r>
      <w:commentRangeEnd w:id="12"/>
      <w:r w:rsidR="00FF3E51" w:rsidRPr="00292F08">
        <w:rPr>
          <w:rStyle w:val="CommentReference"/>
          <w:sz w:val="24"/>
          <w:szCs w:val="24"/>
        </w:rPr>
        <w:commentReference w:id="12"/>
      </w:r>
    </w:p>
    <w:p w14:paraId="77C73295" w14:textId="77777777" w:rsidR="00FA40C2" w:rsidRPr="00292F08" w:rsidRDefault="00000000">
      <w:pPr>
        <w:pStyle w:val="BodyText"/>
      </w:pPr>
      <w:r w:rsidRPr="00292F08">
        <w:t>With these questions and contributions in place, the remainder of this chapter outlines the empirical design at a high level and provides a roadmap for the dissertation.</w:t>
      </w:r>
    </w:p>
    <w:p w14:paraId="2FEC7544" w14:textId="77777777" w:rsidR="00FA40C2" w:rsidRPr="00292F08" w:rsidRDefault="00000000">
      <w:pPr>
        <w:pStyle w:val="Heading2"/>
      </w:pPr>
      <w:bookmarkStart w:id="13" w:name="empirical-design-overview"/>
      <w:bookmarkEnd w:id="10"/>
      <w:r w:rsidRPr="00292F08">
        <w:t>Empirical Design Overview</w:t>
      </w:r>
    </w:p>
    <w:p w14:paraId="1D5B845A" w14:textId="77777777" w:rsidR="00FA40C2" w:rsidRPr="00292F08" w:rsidRDefault="00000000">
      <w:pPr>
        <w:pStyle w:val="FirstParagraph"/>
      </w:pPr>
      <w:commentRangeStart w:id="14"/>
      <w:r w:rsidRPr="00292F08">
        <w:t xml:space="preserve">The empirical strategy is intentionally designed to be PhD-level rigorous yet interpretable, </w:t>
      </w:r>
      <w:commentRangeEnd w:id="14"/>
      <w:r w:rsidR="00C05900" w:rsidRPr="00292F08">
        <w:rPr>
          <w:rStyle w:val="CommentReference"/>
          <w:sz w:val="24"/>
          <w:szCs w:val="24"/>
        </w:rPr>
        <w:commentReference w:id="14"/>
      </w:r>
      <w:r w:rsidRPr="00292F08">
        <w:t>aligning with two principles: limit model proliferation and focus on a small number of econometric blocks with clear roles. The dissertation uses two linked data environments: constituent-level equity data for the physical measure analysis and SPX option data for risk-neutral distribution and premium extraction.</w:t>
      </w:r>
    </w:p>
    <w:p w14:paraId="5AF13195" w14:textId="77777777" w:rsidR="00FA40C2" w:rsidRPr="00292F08" w:rsidRDefault="00000000">
      <w:pPr>
        <w:pStyle w:val="BodyText"/>
      </w:pPr>
      <w:commentRangeStart w:id="15"/>
      <w:r w:rsidRPr="00292F08">
        <w:t xml:space="preserve">The core market is the S&amp;P 500 and its constituents, with a sample intended to begin around the mid‑2000s and extend to the present. </w:t>
      </w:r>
      <w:commentRangeEnd w:id="15"/>
      <w:r w:rsidR="00C05900" w:rsidRPr="00292F08">
        <w:rPr>
          <w:rStyle w:val="CommentReference"/>
          <w:sz w:val="24"/>
          <w:szCs w:val="24"/>
        </w:rPr>
        <w:commentReference w:id="15"/>
      </w:r>
      <w:r w:rsidRPr="00292F08">
        <w:t xml:space="preserve">The choice of SPX index options is motivated by their institutional structure and liquidity: SPX options are widely used to manage large-cap U.S. equity exposure, </w:t>
      </w:r>
      <w:commentRangeStart w:id="16"/>
      <w:r w:rsidRPr="00292F08">
        <w:t xml:space="preserve">and Cboe emphasizes features such as </w:t>
      </w:r>
      <w:commentRangeEnd w:id="16"/>
      <w:r w:rsidR="00FF3E51" w:rsidRPr="00292F08">
        <w:rPr>
          <w:rStyle w:val="CommentReference"/>
          <w:sz w:val="24"/>
          <w:szCs w:val="24"/>
        </w:rPr>
        <w:commentReference w:id="16"/>
      </w:r>
      <w:r w:rsidRPr="00292F08">
        <w:t xml:space="preserve">cash settlement and European-style exercise, which simplify the interpretation of prices as claims on index outcomes at expiration. </w:t>
      </w:r>
      <w:hyperlink r:id="rId35">
        <w:r w:rsidR="00FA40C2" w:rsidRPr="00292F08">
          <w:rPr>
            <w:rStyle w:val="Hyperlink"/>
          </w:rPr>
          <w:t>[17]</w:t>
        </w:r>
      </w:hyperlink>
      <w:r w:rsidRPr="00292F08">
        <w:t xml:space="preserve"> </w:t>
      </w:r>
      <w:commentRangeStart w:id="17"/>
      <w:r w:rsidRPr="00292F08">
        <w:t>On the data availability side, a leading empirical standard in academic work is to use end-of-day option datasets with long coverage; for example, OptionMetrics describes historical U.S. equity and index options coverage from 1996 onward, supporting the feasibility of a 2005–present design</w:t>
      </w:r>
      <w:commentRangeEnd w:id="17"/>
      <w:r w:rsidR="00FF3E51" w:rsidRPr="00292F08">
        <w:rPr>
          <w:rStyle w:val="CommentReference"/>
          <w:sz w:val="24"/>
          <w:szCs w:val="24"/>
        </w:rPr>
        <w:commentReference w:id="17"/>
      </w:r>
      <w:r w:rsidRPr="00292F08">
        <w:t xml:space="preserve">. </w:t>
      </w:r>
      <w:hyperlink r:id="rId36">
        <w:r w:rsidR="00FA40C2" w:rsidRPr="00292F08">
          <w:rPr>
            <w:rStyle w:val="Hyperlink"/>
          </w:rPr>
          <w:t>[18]</w:t>
        </w:r>
      </w:hyperlink>
    </w:p>
    <w:p w14:paraId="72080681" w14:textId="77777777" w:rsidR="00FA40C2" w:rsidRPr="00292F08" w:rsidRDefault="00000000">
      <w:pPr>
        <w:pStyle w:val="BodyText"/>
      </w:pPr>
      <w:r w:rsidRPr="00292F08">
        <w:t xml:space="preserve">The dissertation’s empirical objects are organized around the CSI and its manifestations in </w:t>
      </w:r>
      <m:oMath>
        <m:r>
          <w:rPr>
            <w:rFonts w:ascii="Cambria Math" w:hAnsi="Cambria Math"/>
          </w:rPr>
          <m:t>P</m:t>
        </m:r>
      </m:oMath>
      <w:r w:rsidRPr="00292F08">
        <w:t xml:space="preserve"> and </w:t>
      </w:r>
      <m:oMath>
        <m:r>
          <w:rPr>
            <w:rFonts w:ascii="Cambria Math" w:hAnsi="Cambria Math"/>
          </w:rPr>
          <m:t>Q</m:t>
        </m:r>
      </m:oMath>
      <w:r w:rsidRPr="00292F08">
        <w:t xml:space="preserve">. CSI itself is constructed from a parsimonious set of concentration dimensions: capital concentration (weights-based measures consistent with index research practice), risk concentration (variance contribution style objects), return-space concentration </w:t>
      </w:r>
      <w:r w:rsidRPr="00292F08">
        <w:lastRenderedPageBreak/>
        <w:t xml:space="preserve">(explanatory dominance), and dependence concentration (eigenvalue share and/or DCC-based correlations). Dependence dynamics are modeled parsimoniously using DCC-style approaches that retain the flexibility of univariate GARCH while parameterizing correlations directly, enabling large-dimensional correlation tracking. </w:t>
      </w:r>
      <w:hyperlink r:id="rId37">
        <w:r w:rsidR="00FA40C2" w:rsidRPr="00292F08">
          <w:rPr>
            <w:rStyle w:val="Hyperlink"/>
          </w:rPr>
          <w:t>[5]</w:t>
        </w:r>
      </w:hyperlink>
    </w:p>
    <w:p w14:paraId="38EE79DA" w14:textId="77777777" w:rsidR="00FA40C2" w:rsidRPr="00292F08" w:rsidRDefault="00000000">
      <w:pPr>
        <w:pStyle w:val="BodyText"/>
      </w:pPr>
      <w:commentRangeStart w:id="18"/>
      <w:r w:rsidRPr="00292F08">
        <w:t>In the physical-measure block, the dissertation focuses on realized systemic risk measures such as downside outcomes, drawdowns, and correlation spikes</w:t>
      </w:r>
      <w:commentRangeEnd w:id="18"/>
      <w:r w:rsidR="00FF3E51" w:rsidRPr="00292F08">
        <w:rPr>
          <w:rStyle w:val="CommentReference"/>
          <w:sz w:val="24"/>
          <w:szCs w:val="24"/>
        </w:rPr>
        <w:commentReference w:id="18"/>
      </w:r>
      <w:r w:rsidRPr="00292F08">
        <w:t xml:space="preserve">. The econometric toolkit is deliberately compact. First, realized-risk dynamics are modeled using HAR-style specifications, which were developed to approximate long-memory volatility dynamics in a parsimonious and tractable way. </w:t>
      </w:r>
      <w:hyperlink r:id="rId38">
        <w:r w:rsidR="00FA40C2" w:rsidRPr="00292F08">
          <w:rPr>
            <w:rStyle w:val="Hyperlink"/>
          </w:rPr>
          <w:t>[19]</w:t>
        </w:r>
      </w:hyperlink>
      <w:r w:rsidRPr="00292F08">
        <w:t xml:space="preserve"> Second, systemic fragility is examined through tail-sensitive methods, particularly quantile regressions, which were introduced to model conditional quantiles in linear regressions and provide a robust framework for studying the behavior of the left tail as a function of state variables such as CSI. </w:t>
      </w:r>
      <w:hyperlink r:id="rId39">
        <w:r w:rsidR="00FA40C2" w:rsidRPr="00292F08">
          <w:rPr>
            <w:rStyle w:val="Hyperlink"/>
          </w:rPr>
          <w:t>[20]</w:t>
        </w:r>
      </w:hyperlink>
      <w:r w:rsidRPr="00292F08">
        <w:t xml:space="preserve"> Third, dynamic responses are estimated using local projections, which compute impulse responses without requiring the full specification and estimation of a multivariate dynamic system, making them attractive for state-dependent macro-finance applications where interpretability is important. </w:t>
      </w:r>
      <w:hyperlink r:id="rId40">
        <w:r w:rsidR="00FA40C2" w:rsidRPr="00292F08">
          <w:rPr>
            <w:rStyle w:val="Hyperlink"/>
          </w:rPr>
          <w:t>[21]</w:t>
        </w:r>
      </w:hyperlink>
      <w:r w:rsidRPr="00292F08">
        <w:t xml:space="preserve"> These blocks allow the dissertation to distinguish whether concentration primarily forecasts volatility levels, tail outcomes, and dependence regime shifts, and whether those effects are nonlinear in the CSI state.</w:t>
      </w:r>
    </w:p>
    <w:p w14:paraId="2FC564C2" w14:textId="77777777" w:rsidR="00FA40C2" w:rsidRPr="00292F08" w:rsidRDefault="00000000">
      <w:pPr>
        <w:pStyle w:val="BodyText"/>
      </w:pPr>
      <w:r w:rsidRPr="00292F08">
        <w:t xml:space="preserve">In the risk-neutral block, the dissertation extracts option-implied distributional objects—variance, skewness, kurtosis, and tail probabilities—and studies their relation to CSI. The construction is grounded in the state-price-density logic of Breeden and Litzenberger. </w:t>
      </w:r>
      <w:hyperlink r:id="rId41">
        <w:r w:rsidR="00FA40C2" w:rsidRPr="00292F08">
          <w:rPr>
            <w:rStyle w:val="Hyperlink"/>
          </w:rPr>
          <w:t>[7]</w:t>
        </w:r>
      </w:hyperlink>
      <w:r w:rsidRPr="00292F08">
        <w:t xml:space="preserve"> Model-free implied variance objects are motivated by variance swap replication arguments and by the VIX methodology, which explicitly links SPX option prices to a forward-looking variance measure. </w:t>
      </w:r>
      <w:hyperlink r:id="rId42">
        <w:r w:rsidR="00FA40C2" w:rsidRPr="00292F08">
          <w:rPr>
            <w:rStyle w:val="Hyperlink"/>
          </w:rPr>
          <w:t>[22]</w:t>
        </w:r>
      </w:hyperlink>
      <w:r w:rsidRPr="00292F08">
        <w:t xml:space="preserve"> The dissertation then maps these risk-neutral objects into premium concepts. VRP serves as a baseline premium with well-established predictive content for returns. </w:t>
      </w:r>
      <w:hyperlink r:id="rId43">
        <w:r w:rsidR="00FA40C2" w:rsidRPr="00292F08">
          <w:rPr>
            <w:rStyle w:val="Hyperlink"/>
          </w:rPr>
          <w:t>[10]</w:t>
        </w:r>
      </w:hyperlink>
      <w:r w:rsidRPr="00292F08">
        <w:t xml:space="preserve"> Tail-premium-like objects follow the conceptual guidance of the index-option literature emphasizing that priced left-tail risk contains independent variation not spanned by volatility; the analysis is designed to test whether concentration predicts this left-tail component and whether it does so beyond VRP. </w:t>
      </w:r>
      <w:hyperlink r:id="rId44">
        <w:r w:rsidR="00FA40C2" w:rsidRPr="00292F08">
          <w:rPr>
            <w:rStyle w:val="Hyperlink"/>
          </w:rPr>
          <w:t>[13]</w:t>
        </w:r>
      </w:hyperlink>
    </w:p>
    <w:p w14:paraId="42B721AC" w14:textId="77777777" w:rsidR="00FA40C2" w:rsidRPr="00292F08" w:rsidRDefault="00000000">
      <w:pPr>
        <w:pStyle w:val="BodyText"/>
      </w:pPr>
      <w:r w:rsidRPr="00292F08">
        <w:t xml:space="preserve">The remainder of the dissertation develops this design as follows. Chapter Two provides a structured review and synthesis across the concentration/granular, systemic risk, and option-implied premium literatures, </w:t>
      </w:r>
      <w:commentRangeStart w:id="19"/>
      <w:r w:rsidRPr="00292F08">
        <w:t>sharpening the gap and positioning</w:t>
      </w:r>
      <w:commentRangeEnd w:id="19"/>
      <w:r w:rsidR="00FF3E51" w:rsidRPr="00292F08">
        <w:rPr>
          <w:rStyle w:val="CommentReference"/>
          <w:sz w:val="24"/>
          <w:szCs w:val="24"/>
        </w:rPr>
        <w:commentReference w:id="19"/>
      </w:r>
      <w:r w:rsidRPr="00292F08">
        <w:t xml:space="preserve">. Chapter Three formalizes measurement and constructs CSI, documenting robustness and dimensionality. Chapter Four delivers the econometric evidence in the physical measure, </w:t>
      </w:r>
      <w:commentRangeStart w:id="20"/>
      <w:r w:rsidRPr="00292F08">
        <w:t>using HAR-style dynamics, quantile regressions, and local projections</w:t>
      </w:r>
      <w:commentRangeEnd w:id="20"/>
      <w:r w:rsidR="00FF3E51" w:rsidRPr="00292F08">
        <w:rPr>
          <w:rStyle w:val="CommentReference"/>
          <w:sz w:val="24"/>
          <w:szCs w:val="24"/>
        </w:rPr>
        <w:commentReference w:id="20"/>
      </w:r>
      <w:r w:rsidRPr="00292F08">
        <w:t xml:space="preserve"> to characterize concentration as a state variable for realized systemic fragility. Chapter Five develops the option-based analysis, extracting risk-neutral moments and tail measures from SPX option panels and linking them to CSI, VRP, and tail-premium-like components. Chapter Six integrates the </w:t>
      </w:r>
      <m:oMath>
        <m:r>
          <w:rPr>
            <w:rFonts w:ascii="Cambria Math" w:hAnsi="Cambria Math"/>
          </w:rPr>
          <m:t>P</m:t>
        </m:r>
      </m:oMath>
      <w:r w:rsidRPr="00292F08">
        <w:t xml:space="preserve"> and </w:t>
      </w:r>
      <m:oMath>
        <m:r>
          <w:rPr>
            <w:rFonts w:ascii="Cambria Math" w:hAnsi="Cambria Math"/>
          </w:rPr>
          <m:t>Q</m:t>
        </m:r>
      </m:oMath>
      <w:r w:rsidRPr="00292F08">
        <w:t xml:space="preserve"> evidence, evaluates robustness across specifications and subsamples, and interprets results through the lens of structural fragility and tail-state pricing.</w:t>
      </w:r>
    </w:p>
    <w:p w14:paraId="069389FF" w14:textId="77777777" w:rsidR="00FA40C2" w:rsidRPr="00292F08" w:rsidRDefault="00000000">
      <w:pPr>
        <w:pStyle w:val="BodyText"/>
      </w:pPr>
      <w:r w:rsidRPr="00292F08">
        <w:lastRenderedPageBreak/>
        <w:t>Taken together, the empirical design operationalizes a single unifying idea: concentration is not merely a cross-sectional descriptor of index weights. It is a structural market state that can reshape the realized distribution of market outcomes and, crucially, the risk-neutral pricing of adverse states embedded in index options. This dual-world framework is what allows the dissertation to contribute to our understanding of concentration as a systemic-risk object—one that is economically meaningful precisely because it connects market structure (dominance of a few firms) to the left tail of the market distribution and to the premia investors pay to transfer that tail risk.</w:t>
      </w:r>
    </w:p>
    <w:bookmarkEnd w:id="1"/>
    <w:bookmarkEnd w:id="2"/>
    <w:bookmarkEnd w:id="13"/>
    <w:p w14:paraId="3BDB34B9" w14:textId="77777777" w:rsidR="00FC1276" w:rsidRDefault="00FC1276"/>
    <w:p w14:paraId="6521AC30" w14:textId="3332B875" w:rsidR="00FA40C2" w:rsidRPr="00292F08" w:rsidRDefault="00000000">
      <w:r>
        <w:pict w14:anchorId="21751979">
          <v:rect id="_x0000_i1026" style="width:0;height:1.5pt" o:hralign="center" o:bullet="t" o:hrstd="t" o:hr="t"/>
        </w:pict>
      </w:r>
    </w:p>
    <w:p w14:paraId="3AA04747" w14:textId="77777777" w:rsidR="00FC1276" w:rsidRDefault="00FC1276">
      <w:pPr>
        <w:pStyle w:val="FirstParagraph"/>
      </w:pPr>
      <w:bookmarkStart w:id="21" w:name="citations"/>
    </w:p>
    <w:p w14:paraId="1C17EA30" w14:textId="077AF8F6" w:rsidR="00FC1276" w:rsidRDefault="00FC1276">
      <w:pPr>
        <w:pStyle w:val="FirstParagraph"/>
      </w:pPr>
      <w:r>
        <w:t xml:space="preserve">[0] S&amp;P Global </w:t>
      </w:r>
      <w:r w:rsidRPr="00FC1276">
        <w:t>In the shadows of giants</w:t>
      </w:r>
    </w:p>
    <w:p w14:paraId="45C8D1A7" w14:textId="1209C6AF" w:rsidR="00FC1276" w:rsidRDefault="00FC1276">
      <w:pPr>
        <w:pStyle w:val="FirstParagraph"/>
      </w:pPr>
      <w:r w:rsidRPr="00FC1276">
        <w:t>https://www.spglobal.com/en/research-insights/special-reports/look-forward/partner-perspectives/unlocking-potential-ahead-with-vanguard/in-the-shadows-of-giants</w:t>
      </w:r>
    </w:p>
    <w:p w14:paraId="57D7A240" w14:textId="31DB5140" w:rsidR="00FA40C2" w:rsidRPr="00292F08" w:rsidRDefault="00FA40C2">
      <w:pPr>
        <w:pStyle w:val="FirstParagraph"/>
      </w:pPr>
      <w:hyperlink r:id="rId45">
        <w:r w:rsidRPr="00292F08">
          <w:rPr>
            <w:rStyle w:val="Hyperlink"/>
          </w:rPr>
          <w:t>[1]</w:t>
        </w:r>
      </w:hyperlink>
      <w:r w:rsidRPr="00292F08">
        <w:t xml:space="preserve"> S&amp;P 500 Top 10 Index - S&amp;P Dow Jones Indices</w:t>
      </w:r>
    </w:p>
    <w:p w14:paraId="067851E9" w14:textId="77777777" w:rsidR="00FA40C2" w:rsidRPr="00292F08" w:rsidRDefault="00FA40C2">
      <w:pPr>
        <w:pStyle w:val="BodyText"/>
      </w:pPr>
      <w:hyperlink r:id="rId46">
        <w:r w:rsidRPr="00292F08">
          <w:rPr>
            <w:rStyle w:val="Hyperlink"/>
          </w:rPr>
          <w:t>https://www.spglobal.com/spdji/en/indices/equity/sp-500-top-10-index/?utm_source=chatgpt.com</w:t>
        </w:r>
      </w:hyperlink>
    </w:p>
    <w:p w14:paraId="50EB1742" w14:textId="77777777" w:rsidR="00FA40C2" w:rsidRPr="00292F08" w:rsidRDefault="00FA40C2">
      <w:pPr>
        <w:pStyle w:val="BodyText"/>
      </w:pPr>
      <w:hyperlink r:id="rId47">
        <w:r w:rsidRPr="00292F08">
          <w:rPr>
            <w:rStyle w:val="Hyperlink"/>
          </w:rPr>
          <w:t>[2]</w:t>
        </w:r>
      </w:hyperlink>
      <w:r w:rsidRPr="00292F08">
        <w:t xml:space="preserve"> Concentration within Sectors and Its Implications for Equal Weighting</w:t>
      </w:r>
    </w:p>
    <w:p w14:paraId="65E820FB" w14:textId="77777777" w:rsidR="00FA40C2" w:rsidRPr="00292F08" w:rsidRDefault="00FA40C2">
      <w:pPr>
        <w:pStyle w:val="BodyText"/>
      </w:pPr>
      <w:hyperlink r:id="rId48">
        <w:r w:rsidRPr="00292F08">
          <w:rPr>
            <w:rStyle w:val="Hyperlink"/>
          </w:rPr>
          <w:t>https://www.spglobal.com/spdji/en/documents/research/research-concentration-within-sectors-and-its-implications-for-equal-weighting.pdf?utm_source=chatgpt.com</w:t>
        </w:r>
      </w:hyperlink>
    </w:p>
    <w:p w14:paraId="15462D81" w14:textId="77777777" w:rsidR="00FA40C2" w:rsidRPr="00292F08" w:rsidRDefault="00FA40C2">
      <w:pPr>
        <w:pStyle w:val="BodyText"/>
      </w:pPr>
      <w:hyperlink r:id="rId49">
        <w:r w:rsidRPr="00292F08">
          <w:rPr>
            <w:rStyle w:val="Hyperlink"/>
          </w:rPr>
          <w:t>[3]</w:t>
        </w:r>
      </w:hyperlink>
      <w:r w:rsidRPr="00292F08">
        <w:t xml:space="preserve"> </w:t>
      </w:r>
      <w:hyperlink r:id="rId50">
        <w:r w:rsidRPr="00292F08">
          <w:rPr>
            <w:rStyle w:val="Hyperlink"/>
          </w:rPr>
          <w:t>[4]</w:t>
        </w:r>
      </w:hyperlink>
      <w:r w:rsidRPr="00292F08">
        <w:t xml:space="preserve"> </w:t>
      </w:r>
      <w:hyperlink r:id="rId51">
        <w:r w:rsidRPr="00292F08">
          <w:rPr>
            <w:rStyle w:val="Hyperlink"/>
          </w:rPr>
          <w:t>[6]</w:t>
        </w:r>
      </w:hyperlink>
      <w:r w:rsidRPr="00292F08">
        <w:t xml:space="preserve"> THE GRANULAR ORIGINS OF AGGREGATE FLUCTUATIONS</w:t>
      </w:r>
    </w:p>
    <w:p w14:paraId="404C6C0E" w14:textId="77777777" w:rsidR="00FA40C2" w:rsidRPr="00292F08" w:rsidRDefault="00FA40C2">
      <w:pPr>
        <w:pStyle w:val="BodyText"/>
      </w:pPr>
      <w:hyperlink r:id="rId52">
        <w:r w:rsidRPr="00292F08">
          <w:rPr>
            <w:rStyle w:val="Hyperlink"/>
          </w:rPr>
          <w:t>https://pages.stern.nyu.edu/~xgabaix/papers/granular.pdf?utm_source=chatgpt.com</w:t>
        </w:r>
      </w:hyperlink>
    </w:p>
    <w:p w14:paraId="4EDA25C8" w14:textId="77777777" w:rsidR="00FA40C2" w:rsidRPr="00292F08" w:rsidRDefault="00FA40C2">
      <w:pPr>
        <w:pStyle w:val="BodyText"/>
      </w:pPr>
      <w:hyperlink r:id="rId53">
        <w:r w:rsidRPr="00292F08">
          <w:rPr>
            <w:rStyle w:val="Hyperlink"/>
          </w:rPr>
          <w:t>[5]</w:t>
        </w:r>
      </w:hyperlink>
      <w:r w:rsidRPr="00292F08">
        <w:t xml:space="preserve"> Dynamic conditional correlation: A simple class of multivariate ...</w:t>
      </w:r>
    </w:p>
    <w:p w14:paraId="21E85B8D" w14:textId="77777777" w:rsidR="00FA40C2" w:rsidRPr="00292F08" w:rsidRDefault="00FA40C2">
      <w:pPr>
        <w:pStyle w:val="BodyText"/>
      </w:pPr>
      <w:hyperlink r:id="rId54">
        <w:r w:rsidRPr="00292F08">
          <w:rPr>
            <w:rStyle w:val="Hyperlink"/>
          </w:rPr>
          <w:t>https://faculty.washington.edu/ezivot//econ589/EngleDCCJBES.pdf?utm_source=chatgpt.com</w:t>
        </w:r>
      </w:hyperlink>
    </w:p>
    <w:p w14:paraId="6A0CE74B" w14:textId="77777777" w:rsidR="00FA40C2" w:rsidRPr="00292F08" w:rsidRDefault="00FA40C2">
      <w:pPr>
        <w:pStyle w:val="BodyText"/>
      </w:pPr>
      <w:hyperlink r:id="rId55">
        <w:r w:rsidRPr="00292F08">
          <w:rPr>
            <w:rStyle w:val="Hyperlink"/>
          </w:rPr>
          <w:t>[7]</w:t>
        </w:r>
      </w:hyperlink>
      <w:r w:rsidRPr="00292F08">
        <w:t xml:space="preserve"> Prices of State-Contingent Claims Implicit in Option Prices - JSTOR</w:t>
      </w:r>
    </w:p>
    <w:p w14:paraId="0C12157F" w14:textId="77777777" w:rsidR="00FA40C2" w:rsidRPr="00292F08" w:rsidRDefault="00FA40C2">
      <w:pPr>
        <w:pStyle w:val="BodyText"/>
      </w:pPr>
      <w:hyperlink r:id="rId56">
        <w:r w:rsidRPr="00292F08">
          <w:rPr>
            <w:rStyle w:val="Hyperlink"/>
          </w:rPr>
          <w:t>https://www.jstor.org/stable/2352653?utm_source=chatgpt.com</w:t>
        </w:r>
      </w:hyperlink>
    </w:p>
    <w:p w14:paraId="2CCF562C" w14:textId="77777777" w:rsidR="00FA40C2" w:rsidRPr="00292F08" w:rsidRDefault="00FA40C2">
      <w:pPr>
        <w:pStyle w:val="BodyText"/>
      </w:pPr>
      <w:hyperlink r:id="rId57">
        <w:r w:rsidRPr="00292F08">
          <w:rPr>
            <w:rStyle w:val="Hyperlink"/>
          </w:rPr>
          <w:t>[8]</w:t>
        </w:r>
      </w:hyperlink>
      <w:r w:rsidRPr="00292F08">
        <w:t xml:space="preserve"> </w:t>
      </w:r>
      <w:hyperlink r:id="rId58">
        <w:r w:rsidRPr="00292F08">
          <w:rPr>
            <w:rStyle w:val="Hyperlink"/>
          </w:rPr>
          <w:t>[22]</w:t>
        </w:r>
      </w:hyperlink>
      <w:r w:rsidRPr="00292F08">
        <w:t xml:space="preserve"> METHODOLOGY Cboe Volati</w:t>
      </w:r>
    </w:p>
    <w:p w14:paraId="29298FD5" w14:textId="77777777" w:rsidR="00FA40C2" w:rsidRPr="00292F08" w:rsidRDefault="00FA40C2">
      <w:pPr>
        <w:pStyle w:val="BodyText"/>
      </w:pPr>
      <w:hyperlink r:id="rId59">
        <w:r w:rsidRPr="00292F08">
          <w:rPr>
            <w:rStyle w:val="Hyperlink"/>
          </w:rPr>
          <w:t>https://cdn.cboe.com/api/global/us_indices/governance/Volatility_Index_Methodology_Cboe_Volatility_Index.pdf?utm_source=chatgpt.com</w:t>
        </w:r>
      </w:hyperlink>
    </w:p>
    <w:p w14:paraId="3A7F9A8C" w14:textId="77777777" w:rsidR="00FA40C2" w:rsidRPr="00292F08" w:rsidRDefault="00FA40C2">
      <w:pPr>
        <w:pStyle w:val="BodyText"/>
      </w:pPr>
      <w:hyperlink r:id="rId60">
        <w:r w:rsidRPr="00292F08">
          <w:rPr>
            <w:rStyle w:val="Hyperlink"/>
          </w:rPr>
          <w:t>[9]</w:t>
        </w:r>
      </w:hyperlink>
      <w:r w:rsidRPr="00292F08">
        <w:t xml:space="preserve"> Quantitative Strategies Research Notes - Emanuel Derman</w:t>
      </w:r>
    </w:p>
    <w:p w14:paraId="4C58C13A" w14:textId="77777777" w:rsidR="00FA40C2" w:rsidRPr="00292F08" w:rsidRDefault="00FA40C2">
      <w:pPr>
        <w:pStyle w:val="BodyText"/>
      </w:pPr>
      <w:hyperlink r:id="rId61">
        <w:r w:rsidRPr="00292F08">
          <w:rPr>
            <w:rStyle w:val="Hyperlink"/>
          </w:rPr>
          <w:t>https://emanuelderman.com/wp-content/uploads/1999/02/gs-volatility_swaps.pdf?utm_source=chatgpt.com</w:t>
        </w:r>
      </w:hyperlink>
    </w:p>
    <w:p w14:paraId="03F9BC25" w14:textId="77777777" w:rsidR="00FA40C2" w:rsidRPr="00292F08" w:rsidRDefault="00FA40C2">
      <w:pPr>
        <w:pStyle w:val="BodyText"/>
      </w:pPr>
      <w:hyperlink r:id="rId62">
        <w:r w:rsidRPr="00292F08">
          <w:rPr>
            <w:rStyle w:val="Hyperlink"/>
          </w:rPr>
          <w:t>[10]</w:t>
        </w:r>
      </w:hyperlink>
      <w:r w:rsidRPr="00292F08">
        <w:t xml:space="preserve"> </w:t>
      </w:r>
      <w:hyperlink r:id="rId63">
        <w:r w:rsidRPr="00292F08">
          <w:rPr>
            <w:rStyle w:val="Hyperlink"/>
          </w:rPr>
          <w:t>[16]</w:t>
        </w:r>
      </w:hyperlink>
      <w:r w:rsidRPr="00292F08">
        <w:t xml:space="preserve"> Expected Stock Returns and Variance Risk Premia</w:t>
      </w:r>
    </w:p>
    <w:p w14:paraId="1EB38467" w14:textId="77777777" w:rsidR="00FA40C2" w:rsidRPr="00292F08" w:rsidRDefault="00FA40C2">
      <w:pPr>
        <w:pStyle w:val="BodyText"/>
      </w:pPr>
      <w:hyperlink r:id="rId64">
        <w:r w:rsidRPr="00292F08">
          <w:rPr>
            <w:rStyle w:val="Hyperlink"/>
          </w:rPr>
          <w:t>https://public.econ.duke.edu/~boller/Published_Papers/rfs_09.pdf?utm_source=chatgpt.com</w:t>
        </w:r>
      </w:hyperlink>
    </w:p>
    <w:p w14:paraId="67EB164B" w14:textId="77777777" w:rsidR="00FA40C2" w:rsidRPr="00292F08" w:rsidRDefault="00FA40C2">
      <w:pPr>
        <w:pStyle w:val="BodyText"/>
      </w:pPr>
      <w:hyperlink r:id="rId65">
        <w:r w:rsidRPr="00292F08">
          <w:rPr>
            <w:rStyle w:val="Hyperlink"/>
          </w:rPr>
          <w:t>[11]</w:t>
        </w:r>
      </w:hyperlink>
      <w:r w:rsidRPr="00292F08">
        <w:t xml:space="preserve"> The risk premia embedded in index options - ScienceDirect</w:t>
      </w:r>
    </w:p>
    <w:p w14:paraId="40C321E6" w14:textId="77777777" w:rsidR="00FA40C2" w:rsidRPr="00292F08" w:rsidRDefault="00FA40C2">
      <w:pPr>
        <w:pStyle w:val="BodyText"/>
      </w:pPr>
      <w:hyperlink r:id="rId66">
        <w:r w:rsidRPr="00292F08">
          <w:rPr>
            <w:rStyle w:val="Hyperlink"/>
          </w:rPr>
          <w:t>https://www.sciencedirect.com/science/article/abs/pii/S0304405X15000987?utm_source=chatgpt.com</w:t>
        </w:r>
      </w:hyperlink>
    </w:p>
    <w:p w14:paraId="18F8488D" w14:textId="77777777" w:rsidR="00FA40C2" w:rsidRPr="00292F08" w:rsidRDefault="00FA40C2">
      <w:pPr>
        <w:pStyle w:val="BodyText"/>
      </w:pPr>
      <w:hyperlink r:id="rId67">
        <w:r w:rsidRPr="00292F08">
          <w:rPr>
            <w:rStyle w:val="Hyperlink"/>
          </w:rPr>
          <w:t>[12]</w:t>
        </w:r>
      </w:hyperlink>
      <w:r w:rsidRPr="00292F08">
        <w:t xml:space="preserve"> Tail risk premia and return predictability - Duke University</w:t>
      </w:r>
    </w:p>
    <w:p w14:paraId="08041474" w14:textId="77777777" w:rsidR="00FA40C2" w:rsidRPr="00292F08" w:rsidRDefault="00FA40C2">
      <w:pPr>
        <w:pStyle w:val="BodyText"/>
      </w:pPr>
      <w:hyperlink r:id="rId68">
        <w:r w:rsidRPr="00292F08">
          <w:rPr>
            <w:rStyle w:val="Hyperlink"/>
          </w:rPr>
          <w:t>https://public.econ.duke.edu/~boller/Published_Papers/jfe_15.pdf?utm_source=chatgpt.com</w:t>
        </w:r>
      </w:hyperlink>
    </w:p>
    <w:p w14:paraId="1F9167B5" w14:textId="77777777" w:rsidR="00FA40C2" w:rsidRPr="00292F08" w:rsidRDefault="00FA40C2">
      <w:pPr>
        <w:pStyle w:val="BodyText"/>
      </w:pPr>
      <w:hyperlink r:id="rId69">
        <w:r w:rsidRPr="00292F08">
          <w:rPr>
            <w:rStyle w:val="Hyperlink"/>
          </w:rPr>
          <w:t>[13]</w:t>
        </w:r>
      </w:hyperlink>
      <w:r w:rsidRPr="00292F08">
        <w:t xml:space="preserve"> The Risk Premia Embedded in Index Options - IDEAS/RePEc</w:t>
      </w:r>
    </w:p>
    <w:p w14:paraId="28443BC2" w14:textId="77777777" w:rsidR="00FA40C2" w:rsidRPr="00292F08" w:rsidRDefault="00FA40C2">
      <w:pPr>
        <w:pStyle w:val="BodyText"/>
      </w:pPr>
      <w:hyperlink r:id="rId70">
        <w:r w:rsidRPr="00292F08">
          <w:rPr>
            <w:rStyle w:val="Hyperlink"/>
          </w:rPr>
          <w:t>https://ideas.repec.org/p/aah/create/2018-07.html?utm_source=chatgpt.com</w:t>
        </w:r>
      </w:hyperlink>
    </w:p>
    <w:p w14:paraId="5CB5535F" w14:textId="77777777" w:rsidR="00FA40C2" w:rsidRPr="00292F08" w:rsidRDefault="00FA40C2">
      <w:pPr>
        <w:pStyle w:val="BodyText"/>
      </w:pPr>
      <w:hyperlink r:id="rId71">
        <w:r w:rsidRPr="00292F08">
          <w:rPr>
            <w:rStyle w:val="Hyperlink"/>
          </w:rPr>
          <w:t>[14]</w:t>
        </w:r>
      </w:hyperlink>
      <w:r w:rsidRPr="00292F08">
        <w:t xml:space="preserve"> CoVaR - American Economic Association</w:t>
      </w:r>
    </w:p>
    <w:p w14:paraId="334C51CF" w14:textId="77777777" w:rsidR="00FA40C2" w:rsidRPr="00292F08" w:rsidRDefault="00FA40C2">
      <w:pPr>
        <w:pStyle w:val="BodyText"/>
      </w:pPr>
      <w:hyperlink r:id="rId72">
        <w:r w:rsidRPr="00292F08">
          <w:rPr>
            <w:rStyle w:val="Hyperlink"/>
          </w:rPr>
          <w:t>https://www.aeaweb.org/articles?id=10.1257%2Faer.20120555&amp;utm_source=chatgpt.com</w:t>
        </w:r>
      </w:hyperlink>
    </w:p>
    <w:p w14:paraId="11EB3410" w14:textId="77777777" w:rsidR="00FA40C2" w:rsidRPr="00292F08" w:rsidRDefault="00FA40C2">
      <w:pPr>
        <w:pStyle w:val="BodyText"/>
      </w:pPr>
      <w:hyperlink r:id="rId73">
        <w:r w:rsidRPr="00292F08">
          <w:rPr>
            <w:rStyle w:val="Hyperlink"/>
          </w:rPr>
          <w:t>[15]</w:t>
        </w:r>
      </w:hyperlink>
      <w:r w:rsidRPr="00292F08">
        <w:t xml:space="preserve"> SRISK: A Conditional Capital Shortfall Measure of Systemic Risk</w:t>
      </w:r>
    </w:p>
    <w:p w14:paraId="073916B1" w14:textId="77777777" w:rsidR="00FA40C2" w:rsidRPr="00292F08" w:rsidRDefault="00FA40C2">
      <w:pPr>
        <w:pStyle w:val="BodyText"/>
      </w:pPr>
      <w:hyperlink r:id="rId74">
        <w:r w:rsidRPr="00292F08">
          <w:rPr>
            <w:rStyle w:val="Hyperlink"/>
          </w:rPr>
          <w:t>https://academic.oup.com/rfs/article/30/1/48/2669965?utm_source=chatgpt.com</w:t>
        </w:r>
      </w:hyperlink>
    </w:p>
    <w:p w14:paraId="342845B7" w14:textId="77777777" w:rsidR="00FA40C2" w:rsidRPr="00292F08" w:rsidRDefault="00FA40C2">
      <w:pPr>
        <w:pStyle w:val="BodyText"/>
      </w:pPr>
      <w:hyperlink r:id="rId75">
        <w:r w:rsidRPr="00292F08">
          <w:rPr>
            <w:rStyle w:val="Hyperlink"/>
          </w:rPr>
          <w:t>[17]</w:t>
        </w:r>
      </w:hyperlink>
      <w:r w:rsidRPr="00292F08">
        <w:t xml:space="preserve"> S&amp;P 500 Index Options Product Specifications | Cboe</w:t>
      </w:r>
    </w:p>
    <w:p w14:paraId="080746EA" w14:textId="77777777" w:rsidR="00FA40C2" w:rsidRPr="00292F08" w:rsidRDefault="00FA40C2">
      <w:pPr>
        <w:pStyle w:val="BodyText"/>
      </w:pPr>
      <w:hyperlink r:id="rId76">
        <w:r w:rsidRPr="00292F08">
          <w:rPr>
            <w:rStyle w:val="Hyperlink"/>
          </w:rPr>
          <w:t>https://www.cboe.com/en/tradable-products/sp-500/spx-options/spx-specifications/?utm_source=chatgpt.com</w:t>
        </w:r>
      </w:hyperlink>
    </w:p>
    <w:p w14:paraId="1A3832C9" w14:textId="77777777" w:rsidR="00FA40C2" w:rsidRPr="00292F08" w:rsidRDefault="00FA40C2">
      <w:pPr>
        <w:pStyle w:val="BodyText"/>
      </w:pPr>
      <w:hyperlink r:id="rId77">
        <w:r w:rsidRPr="00292F08">
          <w:rPr>
            <w:rStyle w:val="Hyperlink"/>
          </w:rPr>
          <w:t>[18]</w:t>
        </w:r>
      </w:hyperlink>
      <w:r w:rsidRPr="00292F08">
        <w:t xml:space="preserve"> Historical Options Data | OptionMetrics</w:t>
      </w:r>
    </w:p>
    <w:p w14:paraId="79011033" w14:textId="77777777" w:rsidR="00FA40C2" w:rsidRPr="00292F08" w:rsidRDefault="00FA40C2">
      <w:pPr>
        <w:pStyle w:val="BodyText"/>
      </w:pPr>
      <w:hyperlink r:id="rId78">
        <w:r w:rsidRPr="00292F08">
          <w:rPr>
            <w:rStyle w:val="Hyperlink"/>
          </w:rPr>
          <w:t>https://optionmetrics.com/?utm_source=chatgpt.com</w:t>
        </w:r>
      </w:hyperlink>
    </w:p>
    <w:p w14:paraId="38D763CC" w14:textId="77777777" w:rsidR="00FA40C2" w:rsidRPr="00292F08" w:rsidRDefault="00FA40C2">
      <w:pPr>
        <w:pStyle w:val="BodyText"/>
      </w:pPr>
      <w:hyperlink r:id="rId79">
        <w:r w:rsidRPr="00292F08">
          <w:rPr>
            <w:rStyle w:val="Hyperlink"/>
          </w:rPr>
          <w:t>[19]</w:t>
        </w:r>
      </w:hyperlink>
      <w:r w:rsidRPr="00292F08">
        <w:t xml:space="preserve"> A Simple Approximate Long-Memory Model of Realized Volatility</w:t>
      </w:r>
    </w:p>
    <w:p w14:paraId="3A1C58E9" w14:textId="77777777" w:rsidR="00FA40C2" w:rsidRPr="00292F08" w:rsidRDefault="00FA40C2">
      <w:pPr>
        <w:pStyle w:val="BodyText"/>
      </w:pPr>
      <w:hyperlink r:id="rId80">
        <w:r w:rsidRPr="00292F08">
          <w:rPr>
            <w:rStyle w:val="Hyperlink"/>
          </w:rPr>
          <w:t>https://statmath.wu.ac.at/~hauser/LVs/FinEtricsQF/References/Corsi2009JFinEtrics_LMmodelRealizedVola.pdf?utm_source=chatgpt.com</w:t>
        </w:r>
      </w:hyperlink>
    </w:p>
    <w:p w14:paraId="6C8BA747" w14:textId="77777777" w:rsidR="00FA40C2" w:rsidRPr="00292F08" w:rsidRDefault="00FA40C2">
      <w:pPr>
        <w:pStyle w:val="BodyText"/>
      </w:pPr>
      <w:hyperlink r:id="rId81">
        <w:r w:rsidRPr="00292F08">
          <w:rPr>
            <w:rStyle w:val="Hyperlink"/>
          </w:rPr>
          <w:t>[20]</w:t>
        </w:r>
      </w:hyperlink>
      <w:r w:rsidRPr="00292F08">
        <w:t xml:space="preserve"> Regression Quantiles Roger Koenker; Gilbert Bassett, Jr. Econometrica ...</w:t>
      </w:r>
    </w:p>
    <w:p w14:paraId="449D3751" w14:textId="77777777" w:rsidR="00FA40C2" w:rsidRPr="00292F08" w:rsidRDefault="00FA40C2">
      <w:pPr>
        <w:pStyle w:val="BodyText"/>
      </w:pPr>
      <w:hyperlink r:id="rId82">
        <w:r w:rsidRPr="00292F08">
          <w:rPr>
            <w:rStyle w:val="Hyperlink"/>
          </w:rPr>
          <w:t>https://people.eecs.berkeley.edu/~jordan/sail/readings/koenker-bassett.pdf?utm_source=chatgpt.com</w:t>
        </w:r>
      </w:hyperlink>
    </w:p>
    <w:p w14:paraId="5E600740" w14:textId="77777777" w:rsidR="00FA40C2" w:rsidRPr="00292F08" w:rsidRDefault="00FA40C2">
      <w:pPr>
        <w:pStyle w:val="BodyText"/>
      </w:pPr>
      <w:hyperlink r:id="rId83">
        <w:r w:rsidRPr="00292F08">
          <w:rPr>
            <w:rStyle w:val="Hyperlink"/>
          </w:rPr>
          <w:t>[21]</w:t>
        </w:r>
      </w:hyperlink>
      <w:r w:rsidRPr="00292F08">
        <w:t xml:space="preserve"> Estimation and Inference of Impulse Responses by Local Projections ...</w:t>
      </w:r>
    </w:p>
    <w:p w14:paraId="25030083" w14:textId="77777777" w:rsidR="00FA40C2" w:rsidRDefault="00FA40C2">
      <w:pPr>
        <w:pStyle w:val="BodyText"/>
      </w:pPr>
      <w:hyperlink r:id="rId84">
        <w:r w:rsidRPr="00292F08">
          <w:rPr>
            <w:rStyle w:val="Hyperlink"/>
          </w:rPr>
          <w:t>https://www.aeaweb.org/articles?id=10.1257%2F0002828053828518&amp;utm_source=chatgpt.com</w:t>
        </w:r>
      </w:hyperlink>
      <w:bookmarkEnd w:id="21"/>
    </w:p>
    <w:sectPr w:rsidR="00FA40C2">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rebecca benassi" w:date="2026-04-12T17:09:00Z" w:initials="rb">
    <w:p w14:paraId="07B004D0" w14:textId="77777777" w:rsidR="00620736" w:rsidRPr="00292F08" w:rsidRDefault="00620736" w:rsidP="00620736">
      <w:pPr>
        <w:pStyle w:val="CommentText"/>
      </w:pPr>
      <w:r w:rsidRPr="00292F08">
        <w:rPr>
          <w:rStyle w:val="CommentReference"/>
        </w:rPr>
        <w:annotationRef/>
      </w:r>
      <w:r w:rsidRPr="00292F08">
        <w:t>Descrivi?</w:t>
      </w:r>
    </w:p>
  </w:comment>
  <w:comment w:id="6" w:author="rebecca benassi" w:date="2026-06-19T15:32:00Z" w:initials="rb">
    <w:p w14:paraId="277CAFAC" w14:textId="77777777" w:rsidR="00AB32E3" w:rsidRDefault="00AB32E3" w:rsidP="00AB32E3">
      <w:pPr>
        <w:pStyle w:val="CommentText"/>
      </w:pPr>
      <w:r>
        <w:rPr>
          <w:rStyle w:val="CommentReference"/>
        </w:rPr>
        <w:annotationRef/>
      </w:r>
      <w:r>
        <w:rPr>
          <w:lang w:val="it-IT"/>
        </w:rPr>
        <w:t xml:space="preserve">Paper </w:t>
      </w:r>
      <w:r>
        <w:rPr>
          <w:color w:val="27251E"/>
          <w:lang w:val="it-IT"/>
        </w:rPr>
        <w:t>How Concentrated is the SP500 really?, propone una misura di return-space concentration come rolling (R^2) di SPY sui mega-cap driver, proprio per distinguere dominance nei rendimenti da dominance nei pesi .</w:t>
      </w:r>
      <w:r>
        <w:rPr>
          <w:lang w:val="it-IT"/>
        </w:rPr>
        <w:t xml:space="preserve"> </w:t>
      </w:r>
    </w:p>
  </w:comment>
  <w:comment w:id="7" w:author="rebecca benassi" w:date="2026-04-12T17:11:00Z" w:initials="rb">
    <w:p w14:paraId="45E3DB4E" w14:textId="77777777" w:rsidR="00620736" w:rsidRPr="00292F08" w:rsidRDefault="00620736" w:rsidP="00620736">
      <w:pPr>
        <w:pStyle w:val="CommentText"/>
      </w:pPr>
      <w:r w:rsidRPr="00292F08">
        <w:rPr>
          <w:rStyle w:val="CommentReference"/>
        </w:rPr>
        <w:annotationRef/>
      </w:r>
      <w:r w:rsidRPr="00292F08">
        <w:t>“as discussed by Gabaix” (possibile rewording)</w:t>
      </w:r>
    </w:p>
  </w:comment>
  <w:comment w:id="9" w:author="rebecca benassi" w:date="2026-04-29T11:01:00Z" w:initials="rb">
    <w:p w14:paraId="2DE33BB4" w14:textId="77777777" w:rsidR="00D7366E" w:rsidRPr="00292F08" w:rsidRDefault="00D7366E" w:rsidP="00D7366E">
      <w:pPr>
        <w:pStyle w:val="CommentText"/>
      </w:pPr>
      <w:r w:rsidRPr="00292F08">
        <w:rPr>
          <w:rStyle w:val="CommentReference"/>
        </w:rPr>
        <w:annotationRef/>
      </w:r>
      <w:r w:rsidRPr="00292F08">
        <w:t>Descrivi</w:t>
      </w:r>
    </w:p>
  </w:comment>
  <w:comment w:id="11" w:author="rebecca benassi" w:date="2026-07-15T11:03:00Z" w:initials="rb">
    <w:p w14:paraId="05E7B3F4" w14:textId="77777777" w:rsidR="00FF3E51" w:rsidRDefault="00FF3E51" w:rsidP="00FF3E51">
      <w:pPr>
        <w:pStyle w:val="CommentText"/>
      </w:pPr>
      <w:r>
        <w:rPr>
          <w:rStyle w:val="CommentReference"/>
        </w:rPr>
        <w:annotationRef/>
      </w:r>
      <w:r>
        <w:rPr>
          <w:lang w:val="it-IT"/>
        </w:rPr>
        <w:t>Detto 80 volte</w:t>
      </w:r>
    </w:p>
  </w:comment>
  <w:comment w:id="12" w:author="rebecca benassi" w:date="2026-07-15T11:03:00Z" w:initials="rb">
    <w:p w14:paraId="257C752C" w14:textId="77777777" w:rsidR="00FF3E51" w:rsidRDefault="00FF3E51" w:rsidP="00FF3E51">
      <w:pPr>
        <w:pStyle w:val="CommentText"/>
      </w:pPr>
      <w:r>
        <w:rPr>
          <w:rStyle w:val="CommentReference"/>
        </w:rPr>
        <w:annotationRef/>
      </w:r>
      <w:r>
        <w:rPr>
          <w:lang w:val="it-IT"/>
        </w:rPr>
        <w:t>Troppo presuntuoso</w:t>
      </w:r>
    </w:p>
  </w:comment>
  <w:comment w:id="14" w:author="rebecca benassi" w:date="2026-04-30T16:06:00Z" w:initials="rb">
    <w:p w14:paraId="23E21183" w14:textId="77777777" w:rsidR="00C05900" w:rsidRPr="00292F08" w:rsidRDefault="00C05900" w:rsidP="00C05900">
      <w:pPr>
        <w:pStyle w:val="CommentText"/>
      </w:pPr>
      <w:r w:rsidRPr="00292F08">
        <w:rPr>
          <w:rStyle w:val="CommentReference"/>
        </w:rPr>
        <w:annotationRef/>
      </w:r>
      <w:r w:rsidRPr="00292F08">
        <w:t>Eliminare/cambiare</w:t>
      </w:r>
    </w:p>
  </w:comment>
  <w:comment w:id="15" w:author="rebecca benassi" w:date="2026-04-30T16:07:00Z" w:initials="rb">
    <w:p w14:paraId="52FD3F91" w14:textId="77777777" w:rsidR="00C05900" w:rsidRDefault="00C05900" w:rsidP="00C05900">
      <w:pPr>
        <w:pStyle w:val="CommentText"/>
      </w:pPr>
      <w:r w:rsidRPr="00292F08">
        <w:rPr>
          <w:rStyle w:val="CommentReference"/>
        </w:rPr>
        <w:annotationRef/>
      </w:r>
      <w:r w:rsidRPr="00292F08">
        <w:t>TBD</w:t>
      </w:r>
    </w:p>
  </w:comment>
  <w:comment w:id="16" w:author="rebecca benassi" w:date="2026-07-15T11:04:00Z" w:initials="rb">
    <w:p w14:paraId="148DADFC" w14:textId="77777777" w:rsidR="00FF3E51" w:rsidRDefault="00FF3E51" w:rsidP="00FF3E51">
      <w:pPr>
        <w:pStyle w:val="CommentText"/>
      </w:pPr>
      <w:r>
        <w:rPr>
          <w:rStyle w:val="CommentReference"/>
        </w:rPr>
        <w:annotationRef/>
      </w:r>
      <w:r>
        <w:rPr>
          <w:lang w:val="it-IT"/>
        </w:rPr>
        <w:t>Togliere?</w:t>
      </w:r>
    </w:p>
  </w:comment>
  <w:comment w:id="17" w:author="rebecca benassi" w:date="2026-07-15T11:05:00Z" w:initials="rb">
    <w:p w14:paraId="4FC3F047" w14:textId="77777777" w:rsidR="00FF3E51" w:rsidRDefault="00FF3E51" w:rsidP="00FF3E51">
      <w:pPr>
        <w:pStyle w:val="CommentText"/>
      </w:pPr>
      <w:r>
        <w:rPr>
          <w:rStyle w:val="CommentReference"/>
        </w:rPr>
        <w:annotationRef/>
      </w:r>
      <w:r>
        <w:rPr>
          <w:lang w:val="it-IT"/>
        </w:rPr>
        <w:t>cambiare</w:t>
      </w:r>
    </w:p>
  </w:comment>
  <w:comment w:id="18" w:author="rebecca benassi" w:date="2026-07-15T11:06:00Z" w:initials="rb">
    <w:p w14:paraId="26083313" w14:textId="77777777" w:rsidR="00FF3E51" w:rsidRDefault="00FF3E51" w:rsidP="00FF3E51">
      <w:pPr>
        <w:pStyle w:val="CommentText"/>
      </w:pPr>
      <w:r>
        <w:rPr>
          <w:rStyle w:val="CommentReference"/>
        </w:rPr>
        <w:annotationRef/>
      </w:r>
      <w:r>
        <w:rPr>
          <w:lang w:val="it-IT"/>
        </w:rPr>
        <w:t>Già detto</w:t>
      </w:r>
    </w:p>
  </w:comment>
  <w:comment w:id="19" w:author="rebecca benassi" w:date="2026-07-15T11:08:00Z" w:initials="rb">
    <w:p w14:paraId="1B1C4B8F" w14:textId="77777777" w:rsidR="00FF3E51" w:rsidRDefault="00FF3E51" w:rsidP="00FF3E51">
      <w:pPr>
        <w:pStyle w:val="CommentText"/>
      </w:pPr>
      <w:r>
        <w:rPr>
          <w:rStyle w:val="CommentReference"/>
        </w:rPr>
        <w:annotationRef/>
      </w:r>
      <w:r>
        <w:rPr>
          <w:lang w:val="it-IT"/>
        </w:rPr>
        <w:t>Troppo presuntuoso</w:t>
      </w:r>
    </w:p>
  </w:comment>
  <w:comment w:id="20" w:author="rebecca benassi" w:date="2026-07-15T11:09:00Z" w:initials="rb">
    <w:p w14:paraId="40E8BA48" w14:textId="77777777" w:rsidR="00FF3E51" w:rsidRDefault="00FF3E51" w:rsidP="00FF3E51">
      <w:pPr>
        <w:pStyle w:val="CommentText"/>
      </w:pPr>
      <w:r>
        <w:rPr>
          <w:rStyle w:val="CommentReference"/>
        </w:rPr>
        <w:annotationRef/>
      </w:r>
      <w:r>
        <w:rPr>
          <w:lang w:val="it-IT"/>
        </w:rPr>
        <w:t>Già detto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B004D0" w15:done="0"/>
  <w15:commentEx w15:paraId="277CAFAC" w15:done="0"/>
  <w15:commentEx w15:paraId="45E3DB4E" w15:done="0"/>
  <w15:commentEx w15:paraId="2DE33BB4" w15:done="0"/>
  <w15:commentEx w15:paraId="05E7B3F4" w15:done="0"/>
  <w15:commentEx w15:paraId="257C752C" w15:done="0"/>
  <w15:commentEx w15:paraId="23E21183" w15:done="0"/>
  <w15:commentEx w15:paraId="52FD3F91" w15:done="0"/>
  <w15:commentEx w15:paraId="148DADFC" w15:done="0"/>
  <w15:commentEx w15:paraId="4FC3F047" w15:done="0"/>
  <w15:commentEx w15:paraId="26083313" w15:done="0"/>
  <w15:commentEx w15:paraId="1B1C4B8F" w15:done="0"/>
  <w15:commentEx w15:paraId="40E8BA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DD9D8B" w16cex:dateUtc="2026-04-12T15:09:00Z"/>
  <w16cex:commentExtensible w16cex:durableId="5C2C0F99" w16cex:dateUtc="2026-06-19T13:32:00Z"/>
  <w16cex:commentExtensible w16cex:durableId="5836E382" w16cex:dateUtc="2026-04-12T15:11:00Z"/>
  <w16cex:commentExtensible w16cex:durableId="0DA083C0" w16cex:dateUtc="2026-04-29T09:01:00Z"/>
  <w16cex:commentExtensible w16cex:durableId="268F376F" w16cex:dateUtc="2026-07-15T09:03:00Z"/>
  <w16cex:commentExtensible w16cex:durableId="6D42385C" w16cex:dateUtc="2026-07-15T09:03:00Z"/>
  <w16cex:commentExtensible w16cex:durableId="0837C144" w16cex:dateUtc="2026-04-30T14:06:00Z"/>
  <w16cex:commentExtensible w16cex:durableId="2CF42649" w16cex:dateUtc="2026-04-30T14:07:00Z"/>
  <w16cex:commentExtensible w16cex:durableId="48E8605E" w16cex:dateUtc="2026-07-15T09:04:00Z"/>
  <w16cex:commentExtensible w16cex:durableId="2904B4F3" w16cex:dateUtc="2026-07-15T09:05:00Z"/>
  <w16cex:commentExtensible w16cex:durableId="0FF02313" w16cex:dateUtc="2026-07-15T09:06:00Z"/>
  <w16cex:commentExtensible w16cex:durableId="6F894590" w16cex:dateUtc="2026-07-15T09:08:00Z"/>
  <w16cex:commentExtensible w16cex:durableId="6C42E7E9" w16cex:dateUtc="2026-07-15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B004D0" w16cid:durableId="0FDD9D8B"/>
  <w16cid:commentId w16cid:paraId="277CAFAC" w16cid:durableId="5C2C0F99"/>
  <w16cid:commentId w16cid:paraId="45E3DB4E" w16cid:durableId="5836E382"/>
  <w16cid:commentId w16cid:paraId="2DE33BB4" w16cid:durableId="0DA083C0"/>
  <w16cid:commentId w16cid:paraId="05E7B3F4" w16cid:durableId="268F376F"/>
  <w16cid:commentId w16cid:paraId="257C752C" w16cid:durableId="6D42385C"/>
  <w16cid:commentId w16cid:paraId="23E21183" w16cid:durableId="0837C144"/>
  <w16cid:commentId w16cid:paraId="52FD3F91" w16cid:durableId="2CF42649"/>
  <w16cid:commentId w16cid:paraId="148DADFC" w16cid:durableId="48E8605E"/>
  <w16cid:commentId w16cid:paraId="4FC3F047" w16cid:durableId="2904B4F3"/>
  <w16cid:commentId w16cid:paraId="26083313" w16cid:durableId="0FF02313"/>
  <w16cid:commentId w16cid:paraId="1B1C4B8F" w16cid:durableId="6F894590"/>
  <w16cid:commentId w16cid:paraId="40E8BA48" w16cid:durableId="6C42E7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1FAE3" w14:textId="77777777" w:rsidR="006F1111" w:rsidRPr="00292F08" w:rsidRDefault="006F1111" w:rsidP="00E8509C">
      <w:pPr>
        <w:spacing w:after="0"/>
      </w:pPr>
      <w:r w:rsidRPr="00292F08">
        <w:separator/>
      </w:r>
    </w:p>
  </w:endnote>
  <w:endnote w:type="continuationSeparator" w:id="0">
    <w:p w14:paraId="7BE6042B" w14:textId="77777777" w:rsidR="006F1111" w:rsidRPr="00292F08" w:rsidRDefault="006F1111" w:rsidP="00E8509C">
      <w:pPr>
        <w:spacing w:after="0"/>
      </w:pPr>
      <w:r w:rsidRPr="00292F0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D097D" w14:textId="77777777" w:rsidR="006F1111" w:rsidRPr="00292F08" w:rsidRDefault="006F1111" w:rsidP="00E8509C">
      <w:pPr>
        <w:spacing w:after="0"/>
      </w:pPr>
      <w:r w:rsidRPr="00292F08">
        <w:separator/>
      </w:r>
    </w:p>
  </w:footnote>
  <w:footnote w:type="continuationSeparator" w:id="0">
    <w:p w14:paraId="5D948A6C" w14:textId="77777777" w:rsidR="006F1111" w:rsidRPr="00292F08" w:rsidRDefault="006F1111" w:rsidP="00E8509C">
      <w:pPr>
        <w:spacing w:after="0"/>
      </w:pPr>
      <w:r w:rsidRPr="00292F0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1110D5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410536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becca benassi">
    <w15:presenceInfo w15:providerId="Windows Live" w15:userId="fece59752fd6fe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0C2"/>
    <w:rsid w:val="0006346E"/>
    <w:rsid w:val="000B2E54"/>
    <w:rsid w:val="00100AA2"/>
    <w:rsid w:val="001B05E8"/>
    <w:rsid w:val="001B43B2"/>
    <w:rsid w:val="0024387B"/>
    <w:rsid w:val="00260D54"/>
    <w:rsid w:val="00267DD3"/>
    <w:rsid w:val="00292F08"/>
    <w:rsid w:val="00306907"/>
    <w:rsid w:val="003217FA"/>
    <w:rsid w:val="00345DCA"/>
    <w:rsid w:val="00396B43"/>
    <w:rsid w:val="00482CFD"/>
    <w:rsid w:val="004C5F37"/>
    <w:rsid w:val="004F4722"/>
    <w:rsid w:val="005E43F1"/>
    <w:rsid w:val="005E6D8C"/>
    <w:rsid w:val="00620736"/>
    <w:rsid w:val="00686F3D"/>
    <w:rsid w:val="006E41E9"/>
    <w:rsid w:val="006F1111"/>
    <w:rsid w:val="00716CF1"/>
    <w:rsid w:val="0087573A"/>
    <w:rsid w:val="00891DB1"/>
    <w:rsid w:val="009561EA"/>
    <w:rsid w:val="0098281B"/>
    <w:rsid w:val="0098519E"/>
    <w:rsid w:val="00A937A1"/>
    <w:rsid w:val="00AB32E3"/>
    <w:rsid w:val="00B10B5E"/>
    <w:rsid w:val="00B13A42"/>
    <w:rsid w:val="00B33E25"/>
    <w:rsid w:val="00BD0925"/>
    <w:rsid w:val="00C05900"/>
    <w:rsid w:val="00C31423"/>
    <w:rsid w:val="00C53094"/>
    <w:rsid w:val="00C5544C"/>
    <w:rsid w:val="00D16F6D"/>
    <w:rsid w:val="00D7366E"/>
    <w:rsid w:val="00DB0C47"/>
    <w:rsid w:val="00DC6695"/>
    <w:rsid w:val="00DD1B60"/>
    <w:rsid w:val="00DD4BC4"/>
    <w:rsid w:val="00DD6380"/>
    <w:rsid w:val="00E30EEC"/>
    <w:rsid w:val="00E8509C"/>
    <w:rsid w:val="00F21D89"/>
    <w:rsid w:val="00FA3C7C"/>
    <w:rsid w:val="00FA40C2"/>
    <w:rsid w:val="00FC1276"/>
    <w:rsid w:val="00FD2C8A"/>
    <w:rsid w:val="00FF3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3A5C8"/>
  <w15:docId w15:val="{B986181F-597F-4513-B893-D184725F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620736"/>
    <w:rPr>
      <w:color w:val="96607D" w:themeColor="followedHyperlink"/>
      <w:u w:val="single"/>
    </w:rPr>
  </w:style>
  <w:style w:type="character" w:styleId="CommentReference">
    <w:name w:val="annotation reference"/>
    <w:basedOn w:val="DefaultParagraphFont"/>
    <w:rsid w:val="00620736"/>
    <w:rPr>
      <w:sz w:val="16"/>
      <w:szCs w:val="16"/>
    </w:rPr>
  </w:style>
  <w:style w:type="paragraph" w:styleId="CommentText">
    <w:name w:val="annotation text"/>
    <w:basedOn w:val="Normal"/>
    <w:link w:val="CommentTextChar"/>
    <w:rsid w:val="00620736"/>
    <w:rPr>
      <w:sz w:val="20"/>
      <w:szCs w:val="20"/>
    </w:rPr>
  </w:style>
  <w:style w:type="character" w:customStyle="1" w:styleId="CommentTextChar">
    <w:name w:val="Comment Text Char"/>
    <w:basedOn w:val="DefaultParagraphFont"/>
    <w:link w:val="CommentText"/>
    <w:rsid w:val="00620736"/>
    <w:rPr>
      <w:sz w:val="20"/>
      <w:szCs w:val="20"/>
    </w:rPr>
  </w:style>
  <w:style w:type="paragraph" w:styleId="CommentSubject">
    <w:name w:val="annotation subject"/>
    <w:basedOn w:val="CommentText"/>
    <w:next w:val="CommentText"/>
    <w:link w:val="CommentSubjectChar"/>
    <w:rsid w:val="00620736"/>
    <w:rPr>
      <w:b/>
      <w:bCs/>
    </w:rPr>
  </w:style>
  <w:style w:type="character" w:customStyle="1" w:styleId="CommentSubjectChar">
    <w:name w:val="Comment Subject Char"/>
    <w:basedOn w:val="CommentTextChar"/>
    <w:link w:val="CommentSubject"/>
    <w:rsid w:val="00620736"/>
    <w:rPr>
      <w:b/>
      <w:bCs/>
      <w:sz w:val="20"/>
      <w:szCs w:val="20"/>
    </w:rPr>
  </w:style>
  <w:style w:type="paragraph" w:styleId="Header">
    <w:name w:val="header"/>
    <w:basedOn w:val="Normal"/>
    <w:link w:val="HeaderChar"/>
    <w:rsid w:val="00E8509C"/>
    <w:pPr>
      <w:tabs>
        <w:tab w:val="center" w:pos="4513"/>
        <w:tab w:val="right" w:pos="9026"/>
      </w:tabs>
      <w:spacing w:after="0"/>
    </w:pPr>
  </w:style>
  <w:style w:type="character" w:customStyle="1" w:styleId="HeaderChar">
    <w:name w:val="Header Char"/>
    <w:basedOn w:val="DefaultParagraphFont"/>
    <w:link w:val="Header"/>
    <w:rsid w:val="00E8509C"/>
  </w:style>
  <w:style w:type="paragraph" w:styleId="Footer">
    <w:name w:val="footer"/>
    <w:basedOn w:val="Normal"/>
    <w:link w:val="FooterChar"/>
    <w:rsid w:val="00E8509C"/>
    <w:pPr>
      <w:tabs>
        <w:tab w:val="center" w:pos="4513"/>
        <w:tab w:val="right" w:pos="9026"/>
      </w:tabs>
      <w:spacing w:after="0"/>
    </w:pPr>
  </w:style>
  <w:style w:type="character" w:customStyle="1" w:styleId="FooterChar">
    <w:name w:val="Footer Char"/>
    <w:basedOn w:val="DefaultParagraphFont"/>
    <w:link w:val="Footer"/>
    <w:rsid w:val="00E85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ages.stern.nyu.edu/~xgabaix/papers/granular.pdf?utm_source=chatgpt.com" TargetMode="External"/><Relationship Id="rId21" Type="http://schemas.openxmlformats.org/officeDocument/2006/relationships/hyperlink" Target="https://cdn.cboe.com/api/global/us_indices/governance/Volatility_Index_Methodology_Cboe_Volatility_Index.pdf?utm_source=chatgpt.com" TargetMode="External"/><Relationship Id="rId42" Type="http://schemas.openxmlformats.org/officeDocument/2006/relationships/hyperlink" Target="https://cdn.cboe.com/api/global/us_indices/governance/Volatility_Index_Methodology_Cboe_Volatility_Index.pdf?utm_source=chatgpt.com" TargetMode="External"/><Relationship Id="rId47" Type="http://schemas.openxmlformats.org/officeDocument/2006/relationships/hyperlink" Target="https://www.spglobal.com/spdji/en/documents/research/research-concentration-within-sectors-and-its-implications-for-equal-weighting.pdf?utm_source=chatgpt.com" TargetMode="External"/><Relationship Id="rId63" Type="http://schemas.openxmlformats.org/officeDocument/2006/relationships/hyperlink" Target="https://public.econ.duke.edu/~boller/Published_Papers/rfs_09.pdf?utm_source=chatgpt.com" TargetMode="External"/><Relationship Id="rId68" Type="http://schemas.openxmlformats.org/officeDocument/2006/relationships/hyperlink" Target="https://public.econ.duke.edu/~boller/Published_Papers/jfe_15.pdf?utm_source=chatgpt.com" TargetMode="External"/><Relationship Id="rId84" Type="http://schemas.openxmlformats.org/officeDocument/2006/relationships/hyperlink" Target="https://www.aeaweb.org/articles?id=10.1257%2F0002828053828518&amp;utm_source=chatgpt.com" TargetMode="External"/><Relationship Id="rId16" Type="http://schemas.openxmlformats.org/officeDocument/2006/relationships/hyperlink" Target="https://pages.stern.nyu.edu/~xgabaix/papers/granular.pdf?utm_source=chatgpt.com" TargetMode="External"/><Relationship Id="rId11" Type="http://schemas.openxmlformats.org/officeDocument/2006/relationships/comments" Target="comments.xml"/><Relationship Id="rId32" Type="http://schemas.openxmlformats.org/officeDocument/2006/relationships/hyperlink" Target="https://www.aeaweb.org/articles?id=10.1257%2Faer.20120555&amp;utm_source=chatgpt.com" TargetMode="External"/><Relationship Id="rId37" Type="http://schemas.openxmlformats.org/officeDocument/2006/relationships/hyperlink" Target="https://faculty.washington.edu/ezivot//econ589/EngleDCCJBES.pdf?utm_source=chatgpt.com" TargetMode="External"/><Relationship Id="rId53" Type="http://schemas.openxmlformats.org/officeDocument/2006/relationships/hyperlink" Target="https://faculty.washington.edu/ezivot//econ589/EngleDCCJBES.pdf?utm_source=chatgpt.com" TargetMode="External"/><Relationship Id="rId58" Type="http://schemas.openxmlformats.org/officeDocument/2006/relationships/hyperlink" Target="https://cdn.cboe.com/api/global/us_indices/governance/Volatility_Index_Methodology_Cboe_Volatility_Index.pdf?utm_source=chatgpt.com" TargetMode="External"/><Relationship Id="rId74" Type="http://schemas.openxmlformats.org/officeDocument/2006/relationships/hyperlink" Target="https://academic.oup.com/rfs/article/30/1/48/2669965?utm_source=chatgpt.com" TargetMode="External"/><Relationship Id="rId79" Type="http://schemas.openxmlformats.org/officeDocument/2006/relationships/hyperlink" Target="https://statmath.wu.ac.at/~hauser/LVs/FinEtricsQF/References/Corsi2009JFinEtrics_LMmodelRealizedVola.pdf?utm_source=chatgpt.com" TargetMode="External"/><Relationship Id="rId5" Type="http://schemas.openxmlformats.org/officeDocument/2006/relationships/webSettings" Target="webSettings.xml"/><Relationship Id="rId19" Type="http://schemas.openxmlformats.org/officeDocument/2006/relationships/hyperlink" Target="https://faculty.washington.edu/ezivot//econ589/EngleDCCJBES.pdf?utm_source=chatgpt.com" TargetMode="External"/><Relationship Id="rId14" Type="http://schemas.microsoft.com/office/2018/08/relationships/commentsExtensible" Target="commentsExtensible.xml"/><Relationship Id="rId22" Type="http://schemas.openxmlformats.org/officeDocument/2006/relationships/hyperlink" Target="https://emanuelderman.com/wp-content/uploads/1999/02/gs-volatility_swaps.pdf?utm_source=chatgpt.com" TargetMode="External"/><Relationship Id="rId27" Type="http://schemas.openxmlformats.org/officeDocument/2006/relationships/hyperlink" Target="https://faculty.washington.edu/ezivot//econ589/EngleDCCJBES.pdf?utm_source=chatgpt.com" TargetMode="External"/><Relationship Id="rId30" Type="http://schemas.openxmlformats.org/officeDocument/2006/relationships/hyperlink" Target="https://ideas.repec.org/p/aah/create/2018-07.html?utm_source=chatgpt.com" TargetMode="External"/><Relationship Id="rId35" Type="http://schemas.openxmlformats.org/officeDocument/2006/relationships/hyperlink" Target="https://www.cboe.com/en/tradable-products/sp-500/spx-options/spx-specifications/?utm_source=chatgpt.com" TargetMode="External"/><Relationship Id="rId43" Type="http://schemas.openxmlformats.org/officeDocument/2006/relationships/hyperlink" Target="https://public.econ.duke.edu/~boller/Published_Papers/rfs_09.pdf?utm_source=chatgpt.com" TargetMode="External"/><Relationship Id="rId48" Type="http://schemas.openxmlformats.org/officeDocument/2006/relationships/hyperlink" Target="https://www.spglobal.com/spdji/en/documents/research/research-concentration-within-sectors-and-its-implications-for-equal-weighting.pdf?utm_source=chatgpt.com" TargetMode="External"/><Relationship Id="rId56" Type="http://schemas.openxmlformats.org/officeDocument/2006/relationships/hyperlink" Target="https://www.jstor.org/stable/2352653?utm_source=chatgpt.com" TargetMode="External"/><Relationship Id="rId64" Type="http://schemas.openxmlformats.org/officeDocument/2006/relationships/hyperlink" Target="https://public.econ.duke.edu/~boller/Published_Papers/rfs_09.pdf?utm_source=chatgpt.com" TargetMode="External"/><Relationship Id="rId69" Type="http://schemas.openxmlformats.org/officeDocument/2006/relationships/hyperlink" Target="https://ideas.repec.org/p/aah/create/2018-07.html?utm_source=chatgpt.com" TargetMode="External"/><Relationship Id="rId77" Type="http://schemas.openxmlformats.org/officeDocument/2006/relationships/hyperlink" Target="https://optionmetrics.com/?utm_source=chatgpt.com" TargetMode="External"/><Relationship Id="rId8" Type="http://schemas.openxmlformats.org/officeDocument/2006/relationships/hyperlink" Target="https://www.spglobal.com/spdji/en/indices/equity/sp-500-top-10-index/?utm_source=chatgpt.com" TargetMode="External"/><Relationship Id="rId51" Type="http://schemas.openxmlformats.org/officeDocument/2006/relationships/hyperlink" Target="https://pages.stern.nyu.edu/~xgabaix/papers/granular.pdf?utm_source=chatgpt.com" TargetMode="External"/><Relationship Id="rId72" Type="http://schemas.openxmlformats.org/officeDocument/2006/relationships/hyperlink" Target="https://www.aeaweb.org/articles?id=10.1257%2Faer.20120555&amp;utm_source=chatgpt.com" TargetMode="External"/><Relationship Id="rId80" Type="http://schemas.openxmlformats.org/officeDocument/2006/relationships/hyperlink" Target="https://statmath.wu.ac.at/~hauser/LVs/FinEtricsQF/References/Corsi2009JFinEtrics_LMmodelRealizedVola.pdf?utm_source=chatgpt.com" TargetMode="External"/><Relationship Id="rId85" Type="http://schemas.openxmlformats.org/officeDocument/2006/relationships/fontTable" Target="fontTable.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yperlink" Target="https://faculty.washington.edu/ezivot//econ589/EngleDCCJBES.pdf?utm_source=chatgpt.com" TargetMode="External"/><Relationship Id="rId25" Type="http://schemas.openxmlformats.org/officeDocument/2006/relationships/hyperlink" Target="https://public.econ.duke.edu/~boller/Published_Papers/jfe_15.pdf?utm_source=chatgpt.com" TargetMode="External"/><Relationship Id="rId33" Type="http://schemas.openxmlformats.org/officeDocument/2006/relationships/hyperlink" Target="https://academic.oup.com/rfs/article/30/1/48/2669965?utm_source=chatgpt.com" TargetMode="External"/><Relationship Id="rId38" Type="http://schemas.openxmlformats.org/officeDocument/2006/relationships/hyperlink" Target="https://statmath.wu.ac.at/~hauser/LVs/FinEtricsQF/References/Corsi2009JFinEtrics_LMmodelRealizedVola.pdf?utm_source=chatgpt.com" TargetMode="External"/><Relationship Id="rId46" Type="http://schemas.openxmlformats.org/officeDocument/2006/relationships/hyperlink" Target="https://www.spglobal.com/spdji/en/indices/equity/sp-500-top-10-index/?utm_source=chatgpt.com" TargetMode="External"/><Relationship Id="rId59" Type="http://schemas.openxmlformats.org/officeDocument/2006/relationships/hyperlink" Target="https://cdn.cboe.com/api/global/us_indices/governance/Volatility_Index_Methodology_Cboe_Volatility_Index.pdf?utm_source=chatgpt.com" TargetMode="External"/><Relationship Id="rId67" Type="http://schemas.openxmlformats.org/officeDocument/2006/relationships/hyperlink" Target="https://public.econ.duke.edu/~boller/Published_Papers/jfe_15.pdf?utm_source=chatgpt.com" TargetMode="External"/><Relationship Id="rId20" Type="http://schemas.openxmlformats.org/officeDocument/2006/relationships/hyperlink" Target="https://www.jstor.org/stable/2352653?utm_source=chatgpt.com" TargetMode="External"/><Relationship Id="rId41" Type="http://schemas.openxmlformats.org/officeDocument/2006/relationships/hyperlink" Target="https://www.jstor.org/stable/2352653?utm_source=chatgpt.com" TargetMode="External"/><Relationship Id="rId54" Type="http://schemas.openxmlformats.org/officeDocument/2006/relationships/hyperlink" Target="https://faculty.washington.edu/ezivot//econ589/EngleDCCJBES.pdf?utm_source=chatgpt.com" TargetMode="External"/><Relationship Id="rId62" Type="http://schemas.openxmlformats.org/officeDocument/2006/relationships/hyperlink" Target="https://public.econ.duke.edu/~boller/Published_Papers/rfs_09.pdf?utm_source=chatgpt.com" TargetMode="External"/><Relationship Id="rId70" Type="http://schemas.openxmlformats.org/officeDocument/2006/relationships/hyperlink" Target="https://ideas.repec.org/p/aah/create/2018-07.html?utm_source=chatgpt.com" TargetMode="External"/><Relationship Id="rId75" Type="http://schemas.openxmlformats.org/officeDocument/2006/relationships/hyperlink" Target="https://www.cboe.com/en/tradable-products/sp-500/spx-options/spx-specifications/?utm_source=chatgpt.com" TargetMode="External"/><Relationship Id="rId83" Type="http://schemas.openxmlformats.org/officeDocument/2006/relationships/hyperlink" Target="https://www.aeaweb.org/articles?id=10.1257%2F0002828053828518&amp;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spglobal.com/spdji/en/documents/research/research-concentration-within-sectors-and-its-implications-for-equal-weighting.pdf?utm_source=chatgpt.com" TargetMode="External"/><Relationship Id="rId23" Type="http://schemas.openxmlformats.org/officeDocument/2006/relationships/hyperlink" Target="https://public.econ.duke.edu/~boller/Published_Papers/rfs_09.pdf?utm_source=chatgpt.com" TargetMode="External"/><Relationship Id="rId28" Type="http://schemas.openxmlformats.org/officeDocument/2006/relationships/hyperlink" Target="https://public.econ.duke.edu/~boller/Published_Papers/rfs_09.pdf?utm_source=chatgpt.com" TargetMode="External"/><Relationship Id="rId36" Type="http://schemas.openxmlformats.org/officeDocument/2006/relationships/hyperlink" Target="https://optionmetrics.com/?utm_source=chatgpt.com" TargetMode="External"/><Relationship Id="rId49" Type="http://schemas.openxmlformats.org/officeDocument/2006/relationships/hyperlink" Target="https://pages.stern.nyu.edu/~xgabaix/papers/granular.pdf?utm_source=chatgpt.com" TargetMode="External"/><Relationship Id="rId57" Type="http://schemas.openxmlformats.org/officeDocument/2006/relationships/hyperlink" Target="https://cdn.cboe.com/api/global/us_indices/governance/Volatility_Index_Methodology_Cboe_Volatility_Index.pdf?utm_source=chatgpt.com" TargetMode="External"/><Relationship Id="rId10" Type="http://schemas.openxmlformats.org/officeDocument/2006/relationships/hyperlink" Target="https://pages.stern.nyu.edu/~xgabaix/papers/granular.pdf?utm_source=chatgpt.com" TargetMode="External"/><Relationship Id="rId31" Type="http://schemas.openxmlformats.org/officeDocument/2006/relationships/hyperlink" Target="https://pages.stern.nyu.edu/~xgabaix/papers/granular.pdf?utm_source=chatgpt.com" TargetMode="External"/><Relationship Id="rId44" Type="http://schemas.openxmlformats.org/officeDocument/2006/relationships/hyperlink" Target="https://ideas.repec.org/p/aah/create/2018-07.html?utm_source=chatgpt.com" TargetMode="External"/><Relationship Id="rId52" Type="http://schemas.openxmlformats.org/officeDocument/2006/relationships/hyperlink" Target="https://pages.stern.nyu.edu/~xgabaix/papers/granular.pdf?utm_source=chatgpt.com" TargetMode="External"/><Relationship Id="rId60" Type="http://schemas.openxmlformats.org/officeDocument/2006/relationships/hyperlink" Target="https://emanuelderman.com/wp-content/uploads/1999/02/gs-volatility_swaps.pdf?utm_source=chatgpt.com" TargetMode="External"/><Relationship Id="rId65" Type="http://schemas.openxmlformats.org/officeDocument/2006/relationships/hyperlink" Target="https://www.sciencedirect.com/science/article/abs/pii/S0304405X15000987?utm_source=chatgpt.com" TargetMode="External"/><Relationship Id="rId73" Type="http://schemas.openxmlformats.org/officeDocument/2006/relationships/hyperlink" Target="https://academic.oup.com/rfs/article/30/1/48/2669965?utm_source=chatgpt.com" TargetMode="External"/><Relationship Id="rId78" Type="http://schemas.openxmlformats.org/officeDocument/2006/relationships/hyperlink" Target="https://optionmetrics.com/?utm_source=chatgpt.com" TargetMode="External"/><Relationship Id="rId81" Type="http://schemas.openxmlformats.org/officeDocument/2006/relationships/hyperlink" Target="https://people.eecs.berkeley.edu/~jordan/sail/readings/koenker-bassett.pdf?utm_source=chatgpt.com" TargetMode="External"/><Relationship Id="rId86"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www.spglobal.com/spdji/en/documents/research/research-concentration-within-sectors-and-its-implications-for-equal-weighting.pdf?utm_source=chatgpt.com" TargetMode="External"/><Relationship Id="rId13" Type="http://schemas.microsoft.com/office/2016/09/relationships/commentsIds" Target="commentsIds.xml"/><Relationship Id="rId18" Type="http://schemas.openxmlformats.org/officeDocument/2006/relationships/hyperlink" Target="https://pages.stern.nyu.edu/~xgabaix/papers/granular.pdf?utm_source=chatgpt.com" TargetMode="External"/><Relationship Id="rId39" Type="http://schemas.openxmlformats.org/officeDocument/2006/relationships/hyperlink" Target="https://people.eecs.berkeley.edu/~jordan/sail/readings/koenker-bassett.pdf?utm_source=chatgpt.com" TargetMode="External"/><Relationship Id="rId34" Type="http://schemas.openxmlformats.org/officeDocument/2006/relationships/hyperlink" Target="https://public.econ.duke.edu/~boller/Published_Papers/rfs_09.pdf?utm_source=chatgpt.com" TargetMode="External"/><Relationship Id="rId50" Type="http://schemas.openxmlformats.org/officeDocument/2006/relationships/hyperlink" Target="https://pages.stern.nyu.edu/~xgabaix/papers/granular.pdf?utm_source=chatgpt.com" TargetMode="External"/><Relationship Id="rId55" Type="http://schemas.openxmlformats.org/officeDocument/2006/relationships/hyperlink" Target="https://www.jstor.org/stable/2352653?utm_source=chatgpt.com" TargetMode="External"/><Relationship Id="rId76" Type="http://schemas.openxmlformats.org/officeDocument/2006/relationships/hyperlink" Target="https://www.cboe.com/en/tradable-products/sp-500/spx-options/spx-specifications/?utm_source=chatgpt.com" TargetMode="External"/><Relationship Id="rId7" Type="http://schemas.openxmlformats.org/officeDocument/2006/relationships/endnotes" Target="endnotes.xml"/><Relationship Id="rId71" Type="http://schemas.openxmlformats.org/officeDocument/2006/relationships/hyperlink" Target="https://www.aeaweb.org/articles?id=10.1257%2Faer.20120555&amp;utm_source=chatgpt.com" TargetMode="External"/><Relationship Id="rId2" Type="http://schemas.openxmlformats.org/officeDocument/2006/relationships/numbering" Target="numbering.xml"/><Relationship Id="rId29" Type="http://schemas.openxmlformats.org/officeDocument/2006/relationships/hyperlink" Target="https://ideas.repec.org/p/aah/create/2018-07.html?utm_source=chatgpt.com" TargetMode="External"/><Relationship Id="rId24" Type="http://schemas.openxmlformats.org/officeDocument/2006/relationships/hyperlink" Target="https://www.sciencedirect.com/science/article/abs/pii/S0304405X15000987?utm_source=chatgpt.com" TargetMode="External"/><Relationship Id="rId40" Type="http://schemas.openxmlformats.org/officeDocument/2006/relationships/hyperlink" Target="https://www.aeaweb.org/articles?id=10.1257%2F0002828053828518&amp;utm_source=chatgpt.com" TargetMode="External"/><Relationship Id="rId45" Type="http://schemas.openxmlformats.org/officeDocument/2006/relationships/hyperlink" Target="https://www.spglobal.com/spdji/en/indices/equity/sp-500-top-10-index/?utm_source=chatgpt.com" TargetMode="External"/><Relationship Id="rId66" Type="http://schemas.openxmlformats.org/officeDocument/2006/relationships/hyperlink" Target="https://www.sciencedirect.com/science/article/abs/pii/S0304405X15000987?utm_source=chatgpt.com" TargetMode="External"/><Relationship Id="rId87" Type="http://schemas.openxmlformats.org/officeDocument/2006/relationships/theme" Target="theme/theme1.xml"/><Relationship Id="rId61" Type="http://schemas.openxmlformats.org/officeDocument/2006/relationships/hyperlink" Target="https://emanuelderman.com/wp-content/uploads/1999/02/gs-volatility_swaps.pdf?utm_source=chatgpt.com" TargetMode="External"/><Relationship Id="rId82" Type="http://schemas.openxmlformats.org/officeDocument/2006/relationships/hyperlink" Target="https://people.eecs.berkeley.edu/~jordan/sail/readings/koenker-bassett.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462CFC-DCD2-4DEC-81F8-CE6C0A1B1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5649</Words>
  <Characters>32205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rebecca benassi</cp:lastModifiedBy>
  <cp:revision>4</cp:revision>
  <dcterms:created xsi:type="dcterms:W3CDTF">2026-03-31T12:00:00Z</dcterms:created>
  <dcterms:modified xsi:type="dcterms:W3CDTF">2026-07-15T09:09:00Z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