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C4FF0" w14:textId="77777777" w:rsidR="009149CA" w:rsidRDefault="005F16FF">
      <w:pPr>
        <w:spacing w:after="240"/>
        <w:jc w:val="center"/>
      </w:pPr>
      <w:r>
        <w:rPr>
          <w:noProof/>
        </w:rPr>
        <w:drawing>
          <wp:inline distT="0" distB="0" distL="0" distR="0" wp14:anchorId="3AA71233" wp14:editId="62540580">
            <wp:extent cx="6840220" cy="13436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6_hero_clean.png"/>
                    <pic:cNvPicPr/>
                  </pic:nvPicPr>
                  <pic:blipFill>
                    <a:blip r:embed="rId8"/>
                    <a:stretch>
                      <a:fillRect/>
                    </a:stretch>
                  </pic:blipFill>
                  <pic:spPr>
                    <a:xfrm>
                      <a:off x="0" y="0"/>
                      <a:ext cx="6842808" cy="1344168"/>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581"/>
        <w:gridCol w:w="3581"/>
        <w:gridCol w:w="3581"/>
      </w:tblGrid>
      <w:tr w:rsidR="009149CA" w14:paraId="042BD15D" w14:textId="77777777">
        <w:trPr>
          <w:jc w:val="center"/>
        </w:trPr>
        <w:tc>
          <w:tcPr>
            <w:tcW w:w="3581"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0E03641C" w14:textId="77777777" w:rsidR="009149CA" w:rsidRPr="007E30D2" w:rsidRDefault="005F16FF">
            <w:pPr>
              <w:spacing w:after="40"/>
              <w:jc w:val="center"/>
            </w:pPr>
            <w:r w:rsidRPr="007E30D2">
              <w:rPr>
                <w:rFonts w:ascii="Aptos" w:hAnsi="Aptos"/>
                <w:b/>
                <w:color w:val="E86811"/>
              </w:rPr>
              <w:t>ESTIMATED READ TIME</w:t>
            </w:r>
            <w:r w:rsidRPr="007E30D2">
              <w:rPr>
                <w:rFonts w:ascii="Aptos" w:hAnsi="Aptos"/>
                <w:b/>
                <w:color w:val="E86811"/>
              </w:rPr>
              <w:br/>
            </w:r>
            <w:r w:rsidRPr="007E30D2">
              <w:rPr>
                <w:rFonts w:ascii="Aptos" w:hAnsi="Aptos"/>
                <w:b/>
              </w:rPr>
              <w:t>4 minutes</w:t>
            </w:r>
          </w:p>
        </w:tc>
        <w:tc>
          <w:tcPr>
            <w:tcW w:w="3581"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3324494F" w14:textId="77777777" w:rsidR="009149CA" w:rsidRPr="007E30D2" w:rsidRDefault="005F16FF">
            <w:pPr>
              <w:spacing w:after="40"/>
              <w:jc w:val="center"/>
            </w:pPr>
            <w:r w:rsidRPr="007E30D2">
              <w:rPr>
                <w:rFonts w:ascii="Aptos" w:hAnsi="Aptos"/>
                <w:b/>
                <w:color w:val="E86811"/>
              </w:rPr>
              <w:t>APPROXIMATE WORD COUNT</w:t>
            </w:r>
            <w:r w:rsidRPr="007E30D2">
              <w:rPr>
                <w:rFonts w:ascii="Aptos" w:hAnsi="Aptos"/>
                <w:b/>
                <w:color w:val="E86811"/>
              </w:rPr>
              <w:br/>
            </w:r>
            <w:r w:rsidRPr="007E30D2">
              <w:rPr>
                <w:rFonts w:ascii="Aptos" w:hAnsi="Aptos"/>
                <w:b/>
              </w:rPr>
              <w:t>830 words</w:t>
            </w:r>
          </w:p>
        </w:tc>
        <w:tc>
          <w:tcPr>
            <w:tcW w:w="3581"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121D2BF3" w14:textId="77777777" w:rsidR="009149CA" w:rsidRPr="007E30D2" w:rsidRDefault="005F16FF">
            <w:pPr>
              <w:spacing w:after="40"/>
              <w:jc w:val="center"/>
            </w:pPr>
            <w:r w:rsidRPr="007E30D2">
              <w:rPr>
                <w:rFonts w:ascii="Aptos" w:hAnsi="Aptos"/>
                <w:b/>
                <w:color w:val="E86811"/>
              </w:rPr>
              <w:t>PURPOSE</w:t>
            </w:r>
            <w:r w:rsidRPr="007E30D2">
              <w:rPr>
                <w:rFonts w:ascii="Aptos" w:hAnsi="Aptos"/>
                <w:b/>
                <w:color w:val="E86811"/>
              </w:rPr>
              <w:br/>
            </w:r>
            <w:r w:rsidRPr="007E30D2">
              <w:rPr>
                <w:rFonts w:ascii="Aptos" w:hAnsi="Aptos"/>
                <w:b/>
              </w:rPr>
              <w:t>Strategic intelligence briefing</w:t>
            </w:r>
          </w:p>
        </w:tc>
      </w:tr>
    </w:tbl>
    <w:tbl>
      <w:tblPr>
        <w:tblW w:w="0" w:type="auto"/>
        <w:jc w:val="center"/>
        <w:tblLook w:val="04A0" w:firstRow="1" w:lastRow="0" w:firstColumn="1" w:lastColumn="0" w:noHBand="0" w:noVBand="1"/>
      </w:tblPr>
      <w:tblGrid>
        <w:gridCol w:w="10702"/>
      </w:tblGrid>
      <w:tr w:rsidR="009149CA" w14:paraId="7528FD57" w14:textId="77777777" w:rsidTr="007E30D2">
        <w:trPr>
          <w:trHeight w:val="988"/>
          <w:jc w:val="center"/>
        </w:trPr>
        <w:tc>
          <w:tcPr>
            <w:tcW w:w="10742" w:type="dxa"/>
            <w:tcBorders>
              <w:top w:val="single" w:sz="16" w:space="0" w:color="E86811"/>
              <w:left w:val="single" w:sz="16" w:space="0" w:color="E86811"/>
              <w:bottom w:val="single" w:sz="16" w:space="0" w:color="E86811"/>
              <w:right w:val="single" w:sz="16" w:space="0" w:color="E86811"/>
            </w:tcBorders>
            <w:shd w:val="clear" w:color="auto" w:fill="0B1012"/>
          </w:tcPr>
          <w:p w14:paraId="200B8639" w14:textId="77777777" w:rsidR="009149CA" w:rsidRDefault="005F16FF" w:rsidP="007E30D2">
            <w:pPr>
              <w:spacing w:after="0" w:line="240" w:lineRule="auto"/>
              <w:jc w:val="center"/>
            </w:pPr>
            <w:r>
              <w:rPr>
                <w:rFonts w:ascii="Aptos" w:hAnsi="Aptos"/>
                <w:b/>
                <w:color w:val="E86811"/>
              </w:rPr>
              <w:t>Core position:</w:t>
            </w:r>
            <w:r>
              <w:rPr>
                <w:rFonts w:ascii="Aptos" w:hAnsi="Aptos"/>
                <w:b/>
                <w:color w:val="E86811"/>
              </w:rPr>
              <w:br/>
            </w:r>
            <w:r>
              <w:rPr>
                <w:rFonts w:ascii="Aptos" w:hAnsi="Aptos"/>
                <w:b/>
                <w:color w:val="FFFFFF"/>
                <w:sz w:val="24"/>
              </w:rPr>
              <w:t>Trigger logic is the mechanism that turns AI governance from policy intent into controlled execution.</w:t>
            </w:r>
          </w:p>
        </w:tc>
      </w:tr>
    </w:tbl>
    <w:p w14:paraId="408BDB21" w14:textId="77777777" w:rsidR="009149CA" w:rsidRPr="007E30D2" w:rsidRDefault="005F16FF">
      <w:pPr>
        <w:spacing w:before="280" w:after="140"/>
        <w:rPr>
          <w:rFonts w:ascii="Georgia" w:hAnsi="Georgia"/>
        </w:rPr>
      </w:pPr>
      <w:r w:rsidRPr="007E30D2">
        <w:rPr>
          <w:rFonts w:ascii="Georgia" w:hAnsi="Georgia"/>
          <w:b/>
          <w:color w:val="E86811"/>
          <w:sz w:val="44"/>
        </w:rPr>
        <w:t>Essay</w:t>
      </w:r>
    </w:p>
    <w:p w14:paraId="506269D0" w14:textId="77777777" w:rsidR="009149CA" w:rsidRPr="007E30D2" w:rsidRDefault="005F16FF">
      <w:pPr>
        <w:spacing w:after="140" w:line="254" w:lineRule="auto"/>
      </w:pPr>
      <w:r w:rsidRPr="007E30D2">
        <w:rPr>
          <w:rFonts w:ascii="Aptos" w:hAnsi="Aptos"/>
        </w:rPr>
        <w:t>AI governance stays incomplete when it cannot determine when control must fire. Most enterprises can write policies, map AI use cases, approve models, assign owners, and maintain review records. Those activities create structure, and public frameworks already support that discipline. NIST’s AI Risk Management Framework organizes AI risk management through Govern, Map, Measure, and Manage functions.</w:t>
      </w:r>
      <w:r w:rsidRPr="007E30D2">
        <w:rPr>
          <w:rFonts w:ascii="Aptos" w:hAnsi="Aptos"/>
          <w:color w:val="E86811"/>
          <w:vertAlign w:val="superscript"/>
        </w:rPr>
        <w:t>1</w:t>
      </w:r>
    </w:p>
    <w:p w14:paraId="6A822ED2" w14:textId="77777777" w:rsidR="009149CA" w:rsidRPr="007E30D2" w:rsidRDefault="005F16FF">
      <w:pPr>
        <w:spacing w:after="140" w:line="254" w:lineRule="auto"/>
      </w:pPr>
      <w:r w:rsidRPr="007E30D2">
        <w:rPr>
          <w:rFonts w:ascii="Aptos" w:hAnsi="Aptos"/>
        </w:rPr>
        <w:t>The missing control issue begins after those activities are translated into operating process. A policy can say that sensitive AI use requires review, but the enterprise still needs a mechanism that recognizes when the sensitive condition has appeared. A risk rating can classify an AI use case, but the workflow still needs a way to detect when a specific output crosses a consequence threshold. A committee can approve a system, but the enterprise still needs a runtime rule that knows when the decision path is no longer ordinary work.</w:t>
      </w:r>
    </w:p>
    <w:p w14:paraId="1F4B1B76" w14:textId="77777777" w:rsidR="009149CA" w:rsidRPr="007E30D2" w:rsidRDefault="005F16FF">
      <w:pPr>
        <w:spacing w:after="140" w:line="254" w:lineRule="auto"/>
      </w:pPr>
      <w:r w:rsidRPr="007E30D2">
        <w:rPr>
          <w:rFonts w:ascii="Aptos" w:hAnsi="Aptos"/>
        </w:rPr>
        <w:t>Trigger logic is the mechanism that turns governance intent into an enforceable control condition. It identifies the moment where AI participation changes what must happen next. If an AI output stays informational, the workflow may continue under normal controls. If the same output affects eligibility, pricing, credit treatment, claim disposition, customer remediation, hiring priority, transaction handling, legal recommendation, or operational exception handling, the enterprise needs a defined response before execution.</w:t>
      </w:r>
    </w:p>
    <w:p w14:paraId="1F694A4C" w14:textId="77777777" w:rsidR="009149CA" w:rsidRPr="007E30D2" w:rsidRDefault="005F16FF">
      <w:pPr>
        <w:spacing w:after="140" w:line="254" w:lineRule="auto"/>
      </w:pPr>
      <w:r w:rsidRPr="007E30D2">
        <w:rPr>
          <w:rFonts w:ascii="Aptos" w:hAnsi="Aptos"/>
        </w:rPr>
        <w:t>The real AI governance question is not only whether a system was reviewed. The stronger question is what condition causes the enterprise to stop, route, escalate, narrow authority, require evidence, or prevent action.</w:t>
      </w:r>
    </w:p>
    <w:p w14:paraId="25540394" w14:textId="77777777" w:rsidR="009149CA" w:rsidRPr="007E30D2" w:rsidRDefault="005F16FF">
      <w:pPr>
        <w:spacing w:after="140" w:line="254" w:lineRule="auto"/>
      </w:pPr>
      <w:r w:rsidRPr="007E30D2">
        <w:rPr>
          <w:rFonts w:ascii="Aptos" w:hAnsi="Aptos"/>
        </w:rPr>
        <w:t>This is why trigger logic sits at the core of real AI governance. It is the bridge between policy language and operational authority. Without it, governance remains dependent on manual interpretation, after the fact review, and process confidence. With it, the enterprise can state which conditions create control obligations and can make those obligations visible before the decision path moves into consequence.</w:t>
      </w:r>
    </w:p>
    <w:p w14:paraId="231A008F" w14:textId="77777777" w:rsidR="009149CA" w:rsidRDefault="005F16FF">
      <w:pPr>
        <w:spacing w:before="100"/>
        <w:jc w:val="center"/>
      </w:pPr>
      <w:r>
        <w:rPr>
          <w:noProof/>
        </w:rPr>
        <w:drawing>
          <wp:inline distT="0" distB="0" distL="0" distR="0" wp14:anchorId="514A3DB7" wp14:editId="48818C4B">
            <wp:extent cx="6811414" cy="97218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6_micro_clean.png"/>
                    <pic:cNvPicPr/>
                  </pic:nvPicPr>
                  <pic:blipFill>
                    <a:blip r:embed="rId9"/>
                    <a:stretch>
                      <a:fillRect/>
                    </a:stretch>
                  </pic:blipFill>
                  <pic:spPr>
                    <a:xfrm>
                      <a:off x="0" y="0"/>
                      <a:ext cx="6816785" cy="972952"/>
                    </a:xfrm>
                    <a:prstGeom prst="rect">
                      <a:avLst/>
                    </a:prstGeom>
                  </pic:spPr>
                </pic:pic>
              </a:graphicData>
            </a:graphic>
          </wp:inline>
        </w:drawing>
      </w:r>
    </w:p>
    <w:p w14:paraId="22480C71" w14:textId="77777777" w:rsidR="007E30D2" w:rsidRDefault="005F16FF">
      <w:pPr>
        <w:spacing w:after="140" w:line="254" w:lineRule="auto"/>
        <w:rPr>
          <w:rFonts w:ascii="Aptos" w:hAnsi="Aptos"/>
        </w:rPr>
      </w:pPr>
      <w:r w:rsidRPr="007E30D2">
        <w:rPr>
          <w:rFonts w:ascii="Aptos" w:hAnsi="Aptos"/>
        </w:rPr>
        <w:t xml:space="preserve">The same principle applies outside autonomous agents. A lawyer may use AI to shape a recommendation. An underwriter may use AI to classify a file. A claims reviewer may use AI to prioritize exceptions. A compliance </w:t>
      </w:r>
    </w:p>
    <w:p w14:paraId="6CBCD76D" w14:textId="77777777" w:rsidR="007E30D2" w:rsidRDefault="007E30D2">
      <w:pPr>
        <w:spacing w:after="140" w:line="254" w:lineRule="auto"/>
        <w:rPr>
          <w:rFonts w:ascii="Aptos" w:hAnsi="Aptos"/>
        </w:rPr>
      </w:pPr>
    </w:p>
    <w:p w14:paraId="379445D7" w14:textId="41120E56" w:rsidR="009149CA" w:rsidRPr="007E30D2" w:rsidRDefault="005F16FF">
      <w:pPr>
        <w:spacing w:after="140" w:line="254" w:lineRule="auto"/>
      </w:pPr>
      <w:r w:rsidRPr="007E30D2">
        <w:rPr>
          <w:rFonts w:ascii="Aptos" w:hAnsi="Aptos"/>
        </w:rPr>
        <w:t>analyst may use AI to summarize transactions. In each case, the trigger does not need to wait for the machine to execute the final action. The trigger should fire when AI participation changes the authority required for the decision path.</w:t>
      </w:r>
    </w:p>
    <w:p w14:paraId="4E48256B" w14:textId="77777777" w:rsidR="009149CA" w:rsidRPr="007E30D2" w:rsidRDefault="005F16FF">
      <w:pPr>
        <w:spacing w:after="140" w:line="254" w:lineRule="auto"/>
      </w:pPr>
      <w:r w:rsidRPr="007E30D2">
        <w:rPr>
          <w:rFonts w:ascii="Aptos" w:hAnsi="Aptos"/>
        </w:rPr>
        <w:t xml:space="preserve">Public governance signals already point toward this direction. The EU AI Act requires a risk management system for </w:t>
      </w:r>
      <w:proofErr w:type="gramStart"/>
      <w:r w:rsidRPr="007E30D2">
        <w:rPr>
          <w:rFonts w:ascii="Aptos" w:hAnsi="Aptos"/>
        </w:rPr>
        <w:t>high risk</w:t>
      </w:r>
      <w:proofErr w:type="gramEnd"/>
      <w:r w:rsidRPr="007E30D2">
        <w:rPr>
          <w:rFonts w:ascii="Aptos" w:hAnsi="Aptos"/>
        </w:rPr>
        <w:t xml:space="preserve"> AI systems and describes that system as a continuous process throughout the lifecycle. It also treats human oversight as a risk reduction mechanism for </w:t>
      </w:r>
      <w:proofErr w:type="gramStart"/>
      <w:r w:rsidRPr="007E30D2">
        <w:rPr>
          <w:rFonts w:ascii="Aptos" w:hAnsi="Aptos"/>
        </w:rPr>
        <w:t>high risk</w:t>
      </w:r>
      <w:proofErr w:type="gramEnd"/>
      <w:r w:rsidRPr="007E30D2">
        <w:rPr>
          <w:rFonts w:ascii="Aptos" w:hAnsi="Aptos"/>
        </w:rPr>
        <w:t xml:space="preserve"> systems. Those requirements reinforce a larger operational truth: oversight needs control conditions, and control conditions need a way to activate during use.</w:t>
      </w:r>
      <w:r w:rsidRPr="007E30D2">
        <w:rPr>
          <w:rFonts w:ascii="Aptos" w:hAnsi="Aptos"/>
          <w:color w:val="E86811"/>
          <w:vertAlign w:val="superscript"/>
        </w:rPr>
        <w:t>2</w:t>
      </w:r>
    </w:p>
    <w:p w14:paraId="40D04B52" w14:textId="77777777" w:rsidR="009149CA" w:rsidRPr="007E30D2" w:rsidRDefault="005F16FF">
      <w:pPr>
        <w:spacing w:after="140" w:line="254" w:lineRule="auto"/>
      </w:pPr>
      <w:r w:rsidRPr="007E30D2">
        <w:rPr>
          <w:rFonts w:ascii="Aptos" w:hAnsi="Aptos"/>
        </w:rPr>
        <w:t>The current market often treats controls as static artifacts. A checklist is completed. A risk assessment is filed. A dashboard shows activity. A human reviewer is assigned. Those steps can support governance, but none of them proves that the correct control fired when AI participation changed the decision path. Trigger logic fills that operational gap by making control conditional, contextual, and actionable.</w:t>
      </w:r>
    </w:p>
    <w:p w14:paraId="11E64D47" w14:textId="77777777" w:rsidR="009149CA" w:rsidRPr="007E30D2" w:rsidRDefault="005F16FF">
      <w:pPr>
        <w:spacing w:after="140" w:line="254" w:lineRule="auto"/>
      </w:pPr>
      <w:r w:rsidRPr="007E30D2">
        <w:rPr>
          <w:rFonts w:ascii="Aptos" w:hAnsi="Aptos"/>
        </w:rPr>
        <w:t>The enterprise needs different trigger classes because AI creates different forms of decision pressure. Confidence thresholds, consequence thresholds, action type thresholds, prohibited action signals, repeated override patterns, workflow state changes, anomaly signals, missing authority conditions, and audit sensitive events all represent different ways the control environment can shift. A single generic review rule cannot carry that burden across real institutions.</w:t>
      </w:r>
    </w:p>
    <w:p w14:paraId="4B2F5105" w14:textId="77777777" w:rsidR="009149CA" w:rsidRPr="007E30D2" w:rsidRDefault="005F16FF">
      <w:pPr>
        <w:spacing w:after="140" w:line="254" w:lineRule="auto"/>
      </w:pPr>
      <w:r w:rsidRPr="007E30D2">
        <w:rPr>
          <w:rFonts w:ascii="Aptos" w:hAnsi="Aptos"/>
        </w:rPr>
        <w:t>A bank, insurer, broker dealer, healthcare system, law firm, and public agency will not use the same trigger conditions. Each institution has its own authority structure, risk appetite, delegated approval model, regulated workflows, customer impact profile, and evidence expectations. Real AI governance cannot depend on one universal trigger model. It needs enterprise configured trigger logic tied to the decisions the institution is actually responsible for controlling.</w:t>
      </w:r>
    </w:p>
    <w:p w14:paraId="7143F771" w14:textId="77777777" w:rsidR="009149CA" w:rsidRPr="007E30D2" w:rsidRDefault="005F16FF">
      <w:pPr>
        <w:spacing w:after="140" w:line="254" w:lineRule="auto"/>
      </w:pPr>
      <w:r w:rsidRPr="007E30D2">
        <w:rPr>
          <w:rFonts w:ascii="Aptos" w:hAnsi="Aptos"/>
        </w:rPr>
        <w:t>This is where Decision Governance becomes sharper than broad AI governance language. AI governance can tell the organization to manage risk. Decision Governance asks which AI influenced decision condition should force review, escalation, interruption, authority narrowing, override restriction, or evidence capture before action proceeds.</w:t>
      </w:r>
    </w:p>
    <w:p w14:paraId="5778A6F5" w14:textId="77777777" w:rsidR="009149CA" w:rsidRPr="007E30D2" w:rsidRDefault="005F16FF">
      <w:pPr>
        <w:spacing w:after="140" w:line="254" w:lineRule="auto"/>
      </w:pPr>
      <w:r w:rsidRPr="007E30D2">
        <w:rPr>
          <w:rFonts w:ascii="Aptos" w:hAnsi="Aptos"/>
        </w:rPr>
        <w:t>Trigger logic is not a technical detail sitting beneath the product. It is the enforcement structure that determines when governance becomes active. Without trigger logic, an enterprise can know AI was used and still miss the point where control should have intervened. With trigger logic, the enterprise can connect AI participation to authority before consequence is created.</w:t>
      </w:r>
    </w:p>
    <w:p w14:paraId="4AA9D70D" w14:textId="77777777" w:rsidR="009149CA" w:rsidRDefault="005F16FF">
      <w:pPr>
        <w:spacing w:after="140" w:line="254" w:lineRule="auto"/>
      </w:pPr>
      <w:r>
        <w:rPr>
          <w:rFonts w:ascii="Aptos" w:hAnsi="Aptos"/>
          <w:b/>
          <w:sz w:val="21"/>
        </w:rPr>
        <w:t>The next stage of AI governance will not be defined by who can produce the longest policy library. It will be defined by who can prove that the right control fired at the right point in the AI influenced decision path.</w:t>
      </w:r>
    </w:p>
    <w:p w14:paraId="70ABE396" w14:textId="77777777" w:rsidR="009149CA" w:rsidRDefault="005F16FF">
      <w:pPr>
        <w:spacing w:before="160"/>
        <w:jc w:val="center"/>
      </w:pPr>
      <w:r>
        <w:rPr>
          <w:noProof/>
        </w:rPr>
        <w:drawing>
          <wp:inline distT="0" distB="0" distL="0" distR="0" wp14:anchorId="1826B1D3" wp14:editId="5DE1E0AE">
            <wp:extent cx="6800427" cy="795020"/>
            <wp:effectExtent l="0" t="0" r="63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6_claim_clean.png"/>
                    <pic:cNvPicPr/>
                  </pic:nvPicPr>
                  <pic:blipFill>
                    <a:blip r:embed="rId10"/>
                    <a:stretch>
                      <a:fillRect/>
                    </a:stretch>
                  </pic:blipFill>
                  <pic:spPr>
                    <a:xfrm>
                      <a:off x="0" y="0"/>
                      <a:ext cx="6807563" cy="795854"/>
                    </a:xfrm>
                    <a:prstGeom prst="rect">
                      <a:avLst/>
                    </a:prstGeom>
                  </pic:spPr>
                </pic:pic>
              </a:graphicData>
            </a:graphic>
          </wp:inline>
        </w:drawing>
      </w:r>
    </w:p>
    <w:p w14:paraId="0D46F7D8" w14:textId="77777777" w:rsidR="009149CA" w:rsidRPr="007E30D2" w:rsidRDefault="005F16FF">
      <w:pPr>
        <w:spacing w:before="280" w:after="140"/>
        <w:rPr>
          <w:rFonts w:ascii="Georgia" w:hAnsi="Georgia"/>
        </w:rPr>
      </w:pPr>
      <w:r w:rsidRPr="007E30D2">
        <w:rPr>
          <w:rFonts w:ascii="Georgia" w:hAnsi="Georgia"/>
          <w:b/>
          <w:color w:val="E86811"/>
          <w:sz w:val="44"/>
        </w:rPr>
        <w:t>Source Notes</w:t>
      </w:r>
    </w:p>
    <w:p w14:paraId="769EC0CE" w14:textId="77777777" w:rsidR="009149CA" w:rsidRPr="007E30D2" w:rsidRDefault="005F16FF">
      <w:pPr>
        <w:spacing w:after="80" w:line="240" w:lineRule="auto"/>
        <w:rPr>
          <w:sz w:val="18"/>
          <w:szCs w:val="18"/>
        </w:rPr>
      </w:pPr>
      <w:r w:rsidRPr="007E30D2">
        <w:rPr>
          <w:rFonts w:ascii="Aptos" w:hAnsi="Aptos"/>
          <w:b/>
          <w:color w:val="E86811"/>
          <w:sz w:val="18"/>
          <w:szCs w:val="18"/>
        </w:rPr>
        <w:t xml:space="preserve">1. </w:t>
      </w:r>
      <w:r w:rsidRPr="007E30D2">
        <w:rPr>
          <w:rFonts w:ascii="Aptos" w:hAnsi="Aptos"/>
          <w:sz w:val="18"/>
          <w:szCs w:val="18"/>
        </w:rPr>
        <w:t>NIST AI Risk Management Framework. The AI RMF Core is composed of four high level functions: Govern, Map, Measure, and Manage. Source: https://airc.nist.gov/airmf-resources/airmf/5-sec-core/</w:t>
      </w:r>
    </w:p>
    <w:p w14:paraId="43578689" w14:textId="77777777" w:rsidR="009149CA" w:rsidRPr="007E30D2" w:rsidRDefault="005F16FF">
      <w:pPr>
        <w:spacing w:after="80" w:line="240" w:lineRule="auto"/>
        <w:rPr>
          <w:sz w:val="18"/>
          <w:szCs w:val="18"/>
        </w:rPr>
      </w:pPr>
      <w:r w:rsidRPr="007E30D2">
        <w:rPr>
          <w:rFonts w:ascii="Aptos" w:hAnsi="Aptos"/>
          <w:b/>
          <w:color w:val="E86811"/>
          <w:sz w:val="18"/>
          <w:szCs w:val="18"/>
        </w:rPr>
        <w:t xml:space="preserve">2. </w:t>
      </w:r>
      <w:r w:rsidRPr="007E30D2">
        <w:rPr>
          <w:rFonts w:ascii="Aptos" w:hAnsi="Aptos"/>
          <w:sz w:val="18"/>
          <w:szCs w:val="18"/>
        </w:rPr>
        <w:t xml:space="preserve">EU AI Act, Article 9. A risk management system must be established, implemented, documented, and maintained for </w:t>
      </w:r>
      <w:proofErr w:type="gramStart"/>
      <w:r w:rsidRPr="007E30D2">
        <w:rPr>
          <w:rFonts w:ascii="Aptos" w:hAnsi="Aptos"/>
          <w:sz w:val="18"/>
          <w:szCs w:val="18"/>
        </w:rPr>
        <w:t>high risk</w:t>
      </w:r>
      <w:proofErr w:type="gramEnd"/>
      <w:r w:rsidRPr="007E30D2">
        <w:rPr>
          <w:rFonts w:ascii="Aptos" w:hAnsi="Aptos"/>
          <w:sz w:val="18"/>
          <w:szCs w:val="18"/>
        </w:rPr>
        <w:t xml:space="preserve"> AI systems as a continuous iterative process. Source: https://eur-lex.europa.eu/eli/reg/2024/1689/oj/eng</w:t>
      </w:r>
    </w:p>
    <w:p w14:paraId="0FD11E99" w14:textId="77777777" w:rsidR="009149CA" w:rsidRPr="007E30D2" w:rsidRDefault="005F16FF">
      <w:pPr>
        <w:spacing w:after="80" w:line="240" w:lineRule="auto"/>
        <w:rPr>
          <w:sz w:val="18"/>
          <w:szCs w:val="18"/>
        </w:rPr>
      </w:pPr>
      <w:r w:rsidRPr="007E30D2">
        <w:rPr>
          <w:rFonts w:ascii="Aptos" w:hAnsi="Aptos"/>
          <w:b/>
          <w:color w:val="E86811"/>
          <w:sz w:val="18"/>
          <w:szCs w:val="18"/>
        </w:rPr>
        <w:lastRenderedPageBreak/>
        <w:t xml:space="preserve">3. </w:t>
      </w:r>
      <w:r w:rsidRPr="007E30D2">
        <w:rPr>
          <w:rFonts w:ascii="Aptos" w:hAnsi="Aptos"/>
          <w:sz w:val="18"/>
          <w:szCs w:val="18"/>
        </w:rPr>
        <w:t xml:space="preserve">EU AI Act, Article 14. Human oversight for </w:t>
      </w:r>
      <w:proofErr w:type="gramStart"/>
      <w:r w:rsidRPr="007E30D2">
        <w:rPr>
          <w:rFonts w:ascii="Aptos" w:hAnsi="Aptos"/>
          <w:sz w:val="18"/>
          <w:szCs w:val="18"/>
        </w:rPr>
        <w:t>high risk</w:t>
      </w:r>
      <w:proofErr w:type="gramEnd"/>
      <w:r w:rsidRPr="007E30D2">
        <w:rPr>
          <w:rFonts w:ascii="Aptos" w:hAnsi="Aptos"/>
          <w:sz w:val="18"/>
          <w:szCs w:val="18"/>
        </w:rPr>
        <w:t xml:space="preserve"> AI systems aims to prevent or minimize risks during use, including reasonably foreseeable misuse. Source: https://eur-lex.europa.eu/eli/reg/2024/1689/oj/eng</w:t>
      </w:r>
    </w:p>
    <w:p w14:paraId="46ECC3DF" w14:textId="77777777" w:rsidR="009102E4" w:rsidRPr="004F118A" w:rsidRDefault="009102E4" w:rsidP="009102E4">
      <w:pPr>
        <w:spacing w:after="0" w:line="240" w:lineRule="auto"/>
        <w:rPr>
          <w:rFonts w:ascii="Aptos" w:hAnsi="Aptos"/>
          <w:sz w:val="18"/>
          <w:szCs w:val="18"/>
        </w:rPr>
      </w:pPr>
      <w:r w:rsidRPr="004F118A">
        <w:rPr>
          <w:rFonts w:ascii="Aptos" w:hAnsi="Aptos"/>
          <w:b/>
          <w:color w:val="E86811"/>
          <w:sz w:val="18"/>
          <w:szCs w:val="18"/>
        </w:rPr>
        <w:t xml:space="preserve">Prepared for: </w:t>
      </w:r>
      <w:r w:rsidRPr="004F118A">
        <w:rPr>
          <w:rFonts w:ascii="Aptos" w:hAnsi="Aptos"/>
          <w:sz w:val="18"/>
          <w:szCs w:val="18"/>
        </w:rPr>
        <w:t xml:space="preserve">Kevin Moore, Founder, </w:t>
      </w:r>
      <w:proofErr w:type="spellStart"/>
      <w:r w:rsidRPr="004F118A">
        <w:rPr>
          <w:rFonts w:ascii="Aptos" w:hAnsi="Aptos"/>
          <w:sz w:val="18"/>
          <w:szCs w:val="18"/>
        </w:rPr>
        <w:t>Jochanni</w:t>
      </w:r>
      <w:proofErr w:type="spellEnd"/>
      <w:r w:rsidRPr="004F118A">
        <w:rPr>
          <w:rFonts w:ascii="Aptos" w:hAnsi="Aptos"/>
          <w:sz w:val="18"/>
          <w:szCs w:val="18"/>
        </w:rPr>
        <w:t xml:space="preserve"> Labs</w:t>
      </w:r>
    </w:p>
    <w:p w14:paraId="04231D47" w14:textId="77777777" w:rsidR="009102E4" w:rsidRDefault="009102E4" w:rsidP="009102E4">
      <w:pPr>
        <w:spacing w:after="0" w:line="240" w:lineRule="auto"/>
      </w:pPr>
      <w:r w:rsidRPr="004F118A">
        <w:rPr>
          <w:rFonts w:ascii="Aptos" w:hAnsi="Aptos"/>
          <w:b/>
          <w:color w:val="FF6A00"/>
          <w:sz w:val="18"/>
          <w:szCs w:val="18"/>
        </w:rPr>
        <w:t>Publication series: Decision Governance Strategic Intelligence Series</w:t>
      </w:r>
    </w:p>
    <w:p w14:paraId="71E6B47D" w14:textId="28545926" w:rsidR="009149CA" w:rsidRDefault="009149CA" w:rsidP="009102E4">
      <w:pPr>
        <w:spacing w:after="0" w:line="240" w:lineRule="auto"/>
      </w:pPr>
    </w:p>
    <w:sectPr w:rsidR="009149CA" w:rsidSect="00034616">
      <w:headerReference w:type="default" r:id="rId11"/>
      <w:footerReference w:type="default" r:id="rId12"/>
      <w:pgSz w:w="12240" w:h="15840"/>
      <w:pgMar w:top="547" w:right="749" w:bottom="648" w:left="74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5D822" w14:textId="77777777" w:rsidR="001C76E9" w:rsidRDefault="001C76E9">
      <w:pPr>
        <w:spacing w:after="0" w:line="240" w:lineRule="auto"/>
      </w:pPr>
      <w:r>
        <w:separator/>
      </w:r>
    </w:p>
  </w:endnote>
  <w:endnote w:type="continuationSeparator" w:id="0">
    <w:p w14:paraId="451177BE" w14:textId="77777777" w:rsidR="001C76E9" w:rsidRDefault="001C7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B2785" w14:textId="77777777" w:rsidR="009149CA" w:rsidRDefault="005F16FF">
    <w:pPr>
      <w:pStyle w:val="Footer"/>
      <w:jc w:val="center"/>
    </w:pPr>
    <w:r>
      <w:rPr>
        <w:rFonts w:ascii="Aptos" w:hAnsi="Aptos"/>
        <w:color w:val="787878"/>
        <w:sz w:val="16"/>
      </w:rPr>
      <w:t>Why Trigger Logic Is The Core Of Real AI Governance.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CB784" w14:textId="77777777" w:rsidR="001C76E9" w:rsidRDefault="001C76E9">
      <w:pPr>
        <w:spacing w:after="0" w:line="240" w:lineRule="auto"/>
      </w:pPr>
      <w:r>
        <w:separator/>
      </w:r>
    </w:p>
  </w:footnote>
  <w:footnote w:type="continuationSeparator" w:id="0">
    <w:p w14:paraId="0E351988" w14:textId="77777777" w:rsidR="001C76E9" w:rsidRDefault="001C76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01BC3" w14:textId="77777777" w:rsidR="009149CA" w:rsidRDefault="005F16FF">
    <w:pPr>
      <w:pStyle w:val="Header"/>
      <w:jc w:val="right"/>
    </w:pPr>
    <w:proofErr w:type="spellStart"/>
    <w:r>
      <w:rPr>
        <w:rFonts w:ascii="Aptos" w:hAnsi="Aptos"/>
        <w:b/>
        <w:color w:val="E86811"/>
        <w:sz w:val="17"/>
      </w:rPr>
      <w:t>Jochanni</w:t>
    </w:r>
    <w:proofErr w:type="spellEnd"/>
    <w:r>
      <w:rPr>
        <w:rFonts w:ascii="Aptos" w:hAnsi="Aptos"/>
        <w:b/>
        <w:color w:val="E86811"/>
        <w:sz w:val="17"/>
      </w:rPr>
      <w:t xml:space="preserve"> Labs  |  Decision Governance Strategic Intelligence Series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951622">
    <w:abstractNumId w:val="8"/>
  </w:num>
  <w:num w:numId="2" w16cid:durableId="856309069">
    <w:abstractNumId w:val="6"/>
  </w:num>
  <w:num w:numId="3" w16cid:durableId="1388912549">
    <w:abstractNumId w:val="5"/>
  </w:num>
  <w:num w:numId="4" w16cid:durableId="15889379">
    <w:abstractNumId w:val="4"/>
  </w:num>
  <w:num w:numId="5" w16cid:durableId="186870320">
    <w:abstractNumId w:val="7"/>
  </w:num>
  <w:num w:numId="6" w16cid:durableId="1353725550">
    <w:abstractNumId w:val="3"/>
  </w:num>
  <w:num w:numId="7" w16cid:durableId="201595472">
    <w:abstractNumId w:val="2"/>
  </w:num>
  <w:num w:numId="8" w16cid:durableId="1776511689">
    <w:abstractNumId w:val="1"/>
  </w:num>
  <w:num w:numId="9" w16cid:durableId="320038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76E9"/>
    <w:rsid w:val="0029639D"/>
    <w:rsid w:val="00326F90"/>
    <w:rsid w:val="005F16FF"/>
    <w:rsid w:val="007E30D2"/>
    <w:rsid w:val="009102E4"/>
    <w:rsid w:val="009149CA"/>
    <w:rsid w:val="00943E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CBED98"/>
  <w14:defaultImageDpi w14:val="300"/>
  <w15:docId w15:val="{DC1DA09A-6D28-45EC-B6E8-1744211AC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941</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Moore</cp:lastModifiedBy>
  <cp:revision>3</cp:revision>
  <dcterms:created xsi:type="dcterms:W3CDTF">2026-05-11T20:18:00Z</dcterms:created>
  <dcterms:modified xsi:type="dcterms:W3CDTF">2026-05-11T21:39:00Z</dcterms:modified>
  <cp:category/>
</cp:coreProperties>
</file>