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731E" w14:textId="77777777" w:rsidR="00111F2C" w:rsidRDefault="00B95D33">
      <w:pPr>
        <w:spacing w:after="240"/>
        <w:jc w:val="center"/>
      </w:pPr>
      <w:r>
        <w:rPr>
          <w:noProof/>
        </w:rPr>
        <w:drawing>
          <wp:inline distT="0" distB="0" distL="0" distR="0" wp14:anchorId="73BA59AA" wp14:editId="1C17D45D">
            <wp:extent cx="687832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9_hero_clean.png"/>
                    <pic:cNvPicPr/>
                  </pic:nvPicPr>
                  <pic:blipFill>
                    <a:blip r:embed="rId8"/>
                    <a:stretch>
                      <a:fillRect/>
                    </a:stretch>
                  </pic:blipFill>
                  <pic:spPr>
                    <a:xfrm>
                      <a:off x="0" y="0"/>
                      <a:ext cx="6880923"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81"/>
        <w:gridCol w:w="3581"/>
        <w:gridCol w:w="3581"/>
      </w:tblGrid>
      <w:tr w:rsidR="00111F2C" w14:paraId="134D746A" w14:textId="77777777">
        <w:trPr>
          <w:jc w:val="center"/>
        </w:trPr>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5AE9FD0B" w14:textId="77777777" w:rsidR="00111F2C" w:rsidRPr="009F3AFE" w:rsidRDefault="00B95D33">
            <w:pPr>
              <w:spacing w:after="40"/>
              <w:jc w:val="center"/>
            </w:pPr>
            <w:r w:rsidRPr="009F3AFE">
              <w:rPr>
                <w:rFonts w:ascii="Aptos" w:hAnsi="Aptos"/>
                <w:b/>
                <w:color w:val="E86811"/>
              </w:rPr>
              <w:t>ESTIMATED READ TIME</w:t>
            </w:r>
            <w:r w:rsidRPr="009F3AFE">
              <w:rPr>
                <w:rFonts w:ascii="Aptos" w:hAnsi="Aptos"/>
                <w:b/>
                <w:color w:val="E86811"/>
              </w:rPr>
              <w:br/>
            </w:r>
            <w:r w:rsidRPr="009F3AFE">
              <w:rPr>
                <w:rFonts w:ascii="Aptos" w:hAnsi="Aptos"/>
                <w:b/>
              </w:rPr>
              <w:t>4 minutes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5D9D8335" w14:textId="77777777" w:rsidR="00111F2C" w:rsidRPr="009F3AFE" w:rsidRDefault="00B95D33">
            <w:pPr>
              <w:spacing w:after="40"/>
              <w:jc w:val="center"/>
            </w:pPr>
            <w:r w:rsidRPr="009F3AFE">
              <w:rPr>
                <w:rFonts w:ascii="Aptos" w:hAnsi="Aptos"/>
                <w:b/>
                <w:color w:val="E86811"/>
              </w:rPr>
              <w:t>APPROXIMATE WORD COUNT</w:t>
            </w:r>
            <w:r w:rsidRPr="009F3AFE">
              <w:rPr>
                <w:rFonts w:ascii="Aptos" w:hAnsi="Aptos"/>
                <w:b/>
                <w:color w:val="E86811"/>
              </w:rPr>
              <w:br/>
            </w:r>
            <w:r w:rsidRPr="009F3AFE">
              <w:rPr>
                <w:rFonts w:ascii="Aptos" w:hAnsi="Aptos"/>
                <w:b/>
              </w:rPr>
              <w:t>820 words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7EBF7DE3" w14:textId="77777777" w:rsidR="00111F2C" w:rsidRPr="009F3AFE" w:rsidRDefault="00B95D33">
            <w:pPr>
              <w:spacing w:after="40"/>
              <w:jc w:val="center"/>
            </w:pPr>
            <w:r w:rsidRPr="009F3AFE">
              <w:rPr>
                <w:rFonts w:ascii="Aptos" w:hAnsi="Aptos"/>
                <w:b/>
                <w:color w:val="E86811"/>
              </w:rPr>
              <w:t>PURPOSE</w:t>
            </w:r>
            <w:r w:rsidRPr="009F3AFE">
              <w:rPr>
                <w:rFonts w:ascii="Aptos" w:hAnsi="Aptos"/>
                <w:b/>
                <w:color w:val="E86811"/>
              </w:rPr>
              <w:br/>
            </w:r>
            <w:r w:rsidRPr="009F3AFE">
              <w:rPr>
                <w:rFonts w:ascii="Aptos" w:hAnsi="Aptos"/>
                <w:b/>
              </w:rPr>
              <w:t>Strategic intelligence briefing</w:t>
            </w:r>
          </w:p>
        </w:tc>
      </w:tr>
    </w:tbl>
    <w:tbl>
      <w:tblPr>
        <w:tblW w:w="0" w:type="auto"/>
        <w:jc w:val="center"/>
        <w:tblLook w:val="04A0" w:firstRow="1" w:lastRow="0" w:firstColumn="1" w:lastColumn="0" w:noHBand="0" w:noVBand="1"/>
      </w:tblPr>
      <w:tblGrid>
        <w:gridCol w:w="10702"/>
      </w:tblGrid>
      <w:tr w:rsidR="00111F2C" w14:paraId="15F0012B" w14:textId="77777777">
        <w:trPr>
          <w:jc w:val="center"/>
        </w:trPr>
        <w:tc>
          <w:tcPr>
            <w:tcW w:w="10742" w:type="dxa"/>
            <w:tcBorders>
              <w:top w:val="single" w:sz="16" w:space="0" w:color="E86811"/>
              <w:left w:val="single" w:sz="16" w:space="0" w:color="E86811"/>
              <w:bottom w:val="single" w:sz="16" w:space="0" w:color="E86811"/>
              <w:right w:val="single" w:sz="16" w:space="0" w:color="E86811"/>
            </w:tcBorders>
            <w:shd w:val="clear" w:color="auto" w:fill="0B1012"/>
          </w:tcPr>
          <w:p w14:paraId="1D77BF3B" w14:textId="77777777" w:rsidR="00111F2C" w:rsidRDefault="00B95D33" w:rsidP="009F3AFE">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Override logs expose control stress when they show where AI influenced work repeatedly pushes past mapped authority, escalation, review, or evidence requirements.</w:t>
            </w:r>
          </w:p>
        </w:tc>
      </w:tr>
    </w:tbl>
    <w:p w14:paraId="33699415" w14:textId="77777777" w:rsidR="00111F2C" w:rsidRPr="009F3AFE" w:rsidRDefault="00B95D33">
      <w:pPr>
        <w:spacing w:before="280" w:after="140"/>
        <w:rPr>
          <w:rFonts w:ascii="Georgia" w:hAnsi="Georgia"/>
        </w:rPr>
      </w:pPr>
      <w:r w:rsidRPr="009F3AFE">
        <w:rPr>
          <w:rFonts w:ascii="Georgia" w:hAnsi="Georgia"/>
          <w:b/>
          <w:color w:val="E86811"/>
          <w:sz w:val="44"/>
        </w:rPr>
        <w:t>Essay</w:t>
      </w:r>
    </w:p>
    <w:p w14:paraId="7462ABB6" w14:textId="77777777" w:rsidR="00111F2C" w:rsidRPr="009F3AFE" w:rsidRDefault="00B95D33">
      <w:pPr>
        <w:spacing w:after="140" w:line="254" w:lineRule="auto"/>
      </w:pPr>
      <w:r w:rsidRPr="009F3AFE">
        <w:rPr>
          <w:rFonts w:ascii="Aptos" w:hAnsi="Aptos"/>
        </w:rPr>
        <w:t>Override logs should not be treated as administrative residue. In an AI influenced enterprise workflow, an override is one of the clearest signals that the control environment is under pressure. The issue is not whether every override is wrong. The issue is whether the organization can see where authority is being stretched, bypassed, repeated, or normalized before the pattern becomes institutional exposure.</w:t>
      </w:r>
    </w:p>
    <w:p w14:paraId="08626D44" w14:textId="77777777" w:rsidR="00111F2C" w:rsidRPr="009F3AFE" w:rsidRDefault="00B95D33">
      <w:pPr>
        <w:spacing w:after="140" w:line="254" w:lineRule="auto"/>
      </w:pPr>
      <w:r w:rsidRPr="009F3AFE">
        <w:rPr>
          <w:rFonts w:ascii="Aptos" w:hAnsi="Aptos"/>
        </w:rPr>
        <w:t>Most enterprises already understand exception handling. A supervisor may override a queue assignment. A credit officer may approve a file after a risk flag. A compliance lead may permit movement despite an unresolved alert. In a traditional workflow, those decisions may be governed through policy, hierarchy, and audit review. AI changes the operating pressure because the recommendation, classification, prioritization, or warning being overridden may have shaped the decision path before the human intervened.</w:t>
      </w:r>
    </w:p>
    <w:p w14:paraId="43067ED4" w14:textId="77777777" w:rsidR="00111F2C" w:rsidRPr="009F3AFE" w:rsidRDefault="00B95D33">
      <w:pPr>
        <w:spacing w:after="140" w:line="254" w:lineRule="auto"/>
      </w:pPr>
      <w:r w:rsidRPr="009F3AFE">
        <w:rPr>
          <w:rFonts w:ascii="Aptos" w:hAnsi="Aptos"/>
        </w:rPr>
        <w:t>An override log becomes valuable when it tells the enterprise more than who clicked past a control. It should show what was overridden, which AI influenced output or decision path was affected, who had authority, which condition permitted the override, whether escalation occurred, which evidence was preserved, and whether the same override pattern is appearing across teams, models, products, or business units.</w:t>
      </w:r>
    </w:p>
    <w:p w14:paraId="6B3C5C89" w14:textId="77777777" w:rsidR="00111F2C" w:rsidRPr="009F3AFE" w:rsidRDefault="00B95D33">
      <w:pPr>
        <w:spacing w:after="140" w:line="254" w:lineRule="auto"/>
      </w:pPr>
      <w:r w:rsidRPr="009F3AFE">
        <w:rPr>
          <w:rFonts w:ascii="Aptos" w:hAnsi="Aptos"/>
        </w:rPr>
        <w:t>NIST’s AI Risk Management Framework gives enterprises a public structure for governing, mapping, measuring, and managing AI risk. The framework supports a disciplined risk management posture, while enterprise decision control still needs an operating mechanism for interpreting override behavior inside live work. Override patterns can become a measurement surface because they reveal where actual users, workflows, and authority paths are colliding with AI influenced outputs.</w:t>
      </w:r>
      <w:r w:rsidRPr="009F3AFE">
        <w:rPr>
          <w:rFonts w:ascii="Aptos" w:hAnsi="Aptos"/>
          <w:color w:val="E86811"/>
          <w:vertAlign w:val="superscript"/>
        </w:rPr>
        <w:t>1</w:t>
      </w:r>
    </w:p>
    <w:p w14:paraId="05B6E597" w14:textId="77777777" w:rsidR="00111F2C" w:rsidRPr="009F3AFE" w:rsidRDefault="00B95D33">
      <w:pPr>
        <w:spacing w:after="140" w:line="254" w:lineRule="auto"/>
      </w:pPr>
      <w:r w:rsidRPr="009F3AFE">
        <w:rPr>
          <w:rFonts w:ascii="Aptos" w:hAnsi="Aptos"/>
        </w:rPr>
        <w:t>The control stress is not created by the log. The log exposes the stress that already exists. A single valid override may reflect accountable judgment. Repeated overrides in the same decision class may reveal bad trigger logic, weak policy design, unclear authority, poor model fit, operational pressure, or a business unit quietly building a workaround culture around the control system.</w:t>
      </w:r>
    </w:p>
    <w:p w14:paraId="54928209" w14:textId="77777777" w:rsidR="00111F2C" w:rsidRPr="009F3AFE" w:rsidRDefault="00B95D33">
      <w:pPr>
        <w:spacing w:after="140" w:line="254" w:lineRule="auto"/>
      </w:pPr>
      <w:r w:rsidRPr="009F3AFE">
        <w:rPr>
          <w:rFonts w:ascii="Aptos" w:hAnsi="Aptos"/>
        </w:rPr>
        <w:t>An AI generated recommendation may be wrong, incomplete, or misaligned with business context. Human override must remain available in many environments. The problem begins when override behavior becomes invisible, casual, or poorly explained. At that point, the enterprise loses the ability to distinguish legitimate judgment from uncontrolled drift.</w:t>
      </w:r>
    </w:p>
    <w:p w14:paraId="1393653E" w14:textId="77777777" w:rsidR="00111F2C" w:rsidRDefault="00B95D33">
      <w:pPr>
        <w:spacing w:before="100"/>
        <w:jc w:val="center"/>
      </w:pPr>
      <w:r>
        <w:rPr>
          <w:noProof/>
        </w:rPr>
        <w:lastRenderedPageBreak/>
        <w:drawing>
          <wp:inline distT="0" distB="0" distL="0" distR="0" wp14:anchorId="05DEA86D" wp14:editId="510DE1F7">
            <wp:extent cx="6841490" cy="972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9_micro_clean.png"/>
                    <pic:cNvPicPr/>
                  </pic:nvPicPr>
                  <pic:blipFill>
                    <a:blip r:embed="rId9"/>
                    <a:stretch>
                      <a:fillRect/>
                    </a:stretch>
                  </pic:blipFill>
                  <pic:spPr>
                    <a:xfrm>
                      <a:off x="0" y="0"/>
                      <a:ext cx="6850961" cy="973473"/>
                    </a:xfrm>
                    <a:prstGeom prst="rect">
                      <a:avLst/>
                    </a:prstGeom>
                  </pic:spPr>
                </pic:pic>
              </a:graphicData>
            </a:graphic>
          </wp:inline>
        </w:drawing>
      </w:r>
    </w:p>
    <w:p w14:paraId="189FCA6D" w14:textId="77777777" w:rsidR="00111F2C" w:rsidRPr="009F3AFE" w:rsidRDefault="00B95D33">
      <w:pPr>
        <w:spacing w:after="140" w:line="254" w:lineRule="auto"/>
      </w:pPr>
      <w:r w:rsidRPr="009F3AFE">
        <w:rPr>
          <w:rFonts w:ascii="Aptos" w:hAnsi="Aptos"/>
        </w:rPr>
        <w:t xml:space="preserve">The EU AI Act reinforces the relevance of logs and traceability in </w:t>
      </w:r>
      <w:proofErr w:type="gramStart"/>
      <w:r w:rsidRPr="009F3AFE">
        <w:rPr>
          <w:rFonts w:ascii="Aptos" w:hAnsi="Aptos"/>
        </w:rPr>
        <w:t>high risk</w:t>
      </w:r>
      <w:proofErr w:type="gramEnd"/>
      <w:r w:rsidRPr="009F3AFE">
        <w:rPr>
          <w:rFonts w:ascii="Aptos" w:hAnsi="Aptos"/>
        </w:rPr>
        <w:t xml:space="preserve"> AI contexts. Article 12 requires high risk AI systems to technically allow automatic recording of events over the lifetime of the system, and Article 14 addresses human oversight for </w:t>
      </w:r>
      <w:proofErr w:type="gramStart"/>
      <w:r w:rsidRPr="009F3AFE">
        <w:rPr>
          <w:rFonts w:ascii="Aptos" w:hAnsi="Aptos"/>
        </w:rPr>
        <w:t>high risk</w:t>
      </w:r>
      <w:proofErr w:type="gramEnd"/>
      <w:r w:rsidRPr="009F3AFE">
        <w:rPr>
          <w:rFonts w:ascii="Aptos" w:hAnsi="Aptos"/>
        </w:rPr>
        <w:t xml:space="preserve"> AI systems. Those public requirements point toward a broader enterprise reality: when AI participates in consequential work, records need to support scrutiny, intervention, and accountable operation.</w:t>
      </w:r>
      <w:r w:rsidRPr="009F3AFE">
        <w:rPr>
          <w:rFonts w:ascii="Aptos" w:hAnsi="Aptos"/>
          <w:color w:val="E86811"/>
          <w:vertAlign w:val="superscript"/>
        </w:rPr>
        <w:t>2</w:t>
      </w:r>
    </w:p>
    <w:p w14:paraId="45257557" w14:textId="77777777" w:rsidR="00111F2C" w:rsidRPr="009F3AFE" w:rsidRDefault="00B95D33">
      <w:pPr>
        <w:spacing w:after="140" w:line="254" w:lineRule="auto"/>
      </w:pPr>
      <w:r w:rsidRPr="009F3AFE">
        <w:rPr>
          <w:rFonts w:ascii="Aptos" w:hAnsi="Aptos"/>
        </w:rPr>
        <w:t>Override logs sit directly inside that reality. They are not only records for after the fact review. They can show where the enterprise control model is being tested in practice. If a mapped authority holder is consistently overridden, the authority map may be wrong. If escalation is skipped, the escalation path may be too slow or poorly defined. If overrides cluster around one agent, the model may be misaligned. If invalid override reasons appear repeatedly, the business may be refusing the control standard without saying so openly.</w:t>
      </w:r>
    </w:p>
    <w:p w14:paraId="491357DB" w14:textId="77777777" w:rsidR="00111F2C" w:rsidRPr="009F3AFE" w:rsidRDefault="00B95D33">
      <w:pPr>
        <w:spacing w:after="140" w:line="254" w:lineRule="auto"/>
      </w:pPr>
      <w:r w:rsidRPr="009F3AFE">
        <w:rPr>
          <w:rFonts w:ascii="Aptos" w:hAnsi="Aptos"/>
        </w:rPr>
        <w:t>The OECD AI Principles connect accountability to traceability across datasets, processes, and decisions during the AI system lifecycle. Override logs belong inside that traceability chain when the override affects an AI influenced decision path. The enterprise should not only preserve the model output. It should preserve the human decision to move around it, the authority basis for doing so, and the consequence created by that movement.</w:t>
      </w:r>
      <w:r w:rsidRPr="009F3AFE">
        <w:rPr>
          <w:rFonts w:ascii="Aptos" w:hAnsi="Aptos"/>
          <w:color w:val="E86811"/>
          <w:vertAlign w:val="superscript"/>
        </w:rPr>
        <w:t>3</w:t>
      </w:r>
    </w:p>
    <w:p w14:paraId="061E50D1" w14:textId="77777777" w:rsidR="00111F2C" w:rsidRPr="009F3AFE" w:rsidRDefault="00B95D33">
      <w:pPr>
        <w:spacing w:after="140" w:line="254" w:lineRule="auto"/>
      </w:pPr>
      <w:r w:rsidRPr="009F3AFE">
        <w:rPr>
          <w:rFonts w:ascii="Aptos" w:hAnsi="Aptos"/>
        </w:rPr>
        <w:t>Override analysis has to be more serious than a count of exceptions. Volume alone does not tell the truth. A low number of overrides may hide underreporting. A high number may show healthy human judgment in a difficult environment. The signal comes from pattern, context, authority, consequence, and recurrence. The enterprise has to know which overrides are valid, which are prohibited, which require escalation, which expose drift, and which reveal the control model failing under operational pressure.</w:t>
      </w:r>
    </w:p>
    <w:p w14:paraId="540F16C0" w14:textId="77777777" w:rsidR="00111F2C" w:rsidRPr="009F3AFE" w:rsidRDefault="00B95D33">
      <w:pPr>
        <w:spacing w:after="140" w:line="254" w:lineRule="auto"/>
      </w:pPr>
      <w:r w:rsidRPr="009F3AFE">
        <w:rPr>
          <w:rFonts w:ascii="Aptos" w:hAnsi="Aptos"/>
        </w:rPr>
        <w:t>A Decision Governance lens treats override behavior as evidence about the institution. It asks whether AI influenced work is being corrected, resisted, bypassed, escalated, or normalized outside the intended authority path. It asks whether the override was an authorized intervention or a silent rejection of the control design. It asks whether the same exception keeps returning because the enterprise has not fixed the underlying decision condition.</w:t>
      </w:r>
    </w:p>
    <w:p w14:paraId="61E89FC3" w14:textId="77777777" w:rsidR="00111F2C" w:rsidRPr="009F3AFE" w:rsidRDefault="00B95D33">
      <w:pPr>
        <w:spacing w:after="140" w:line="254" w:lineRule="auto"/>
      </w:pPr>
      <w:r w:rsidRPr="009F3AFE">
        <w:rPr>
          <w:rFonts w:ascii="Aptos" w:hAnsi="Aptos"/>
        </w:rPr>
        <w:t>This is the difference between a log and a control surface. A log preserves the event. A control surface interprets the event inside the authority model. Override logs become valuable when they help the enterprise identify where review obligations are failing, where authority is unclear, where triggers are too sensitive or too weak, where business pressure is overriding discipline, and where AI participation is creating decision stress.</w:t>
      </w:r>
    </w:p>
    <w:p w14:paraId="3445D7C7" w14:textId="77777777" w:rsidR="00111F2C" w:rsidRPr="009F3AFE" w:rsidRDefault="00B95D33">
      <w:pPr>
        <w:spacing w:after="140" w:line="254" w:lineRule="auto"/>
      </w:pPr>
      <w:r w:rsidRPr="009F3AFE">
        <w:rPr>
          <w:rFonts w:ascii="Aptos" w:hAnsi="Aptos"/>
        </w:rPr>
        <w:t>Real governance does not eliminate overrides. Serious institutions need controlled override paths because models can be wrong, context can change, and human judgment must remain accountable in consequential work. The stronger operating standard is not zero overrides. The stronger standard is explainable, authorized, traceable overrides that reveal where the control environment needs correction.</w:t>
      </w:r>
    </w:p>
    <w:p w14:paraId="7673C242" w14:textId="77777777" w:rsidR="00111F2C" w:rsidRPr="009F3AFE" w:rsidRDefault="00B95D33">
      <w:pPr>
        <w:spacing w:after="140" w:line="254" w:lineRule="auto"/>
      </w:pPr>
      <w:r w:rsidRPr="009F3AFE">
        <w:rPr>
          <w:rFonts w:ascii="Aptos" w:hAnsi="Aptos"/>
        </w:rPr>
        <w:t>Override logs expose the difference between control by policy and control in practice. Policy says how the organization expects AI influenced work to move. Override behavior shows what the organization actually does when the decision becomes difficult.</w:t>
      </w:r>
    </w:p>
    <w:p w14:paraId="51F05D6E" w14:textId="77777777" w:rsidR="00111F2C" w:rsidRDefault="00B95D33">
      <w:pPr>
        <w:spacing w:after="140" w:line="254" w:lineRule="auto"/>
      </w:pPr>
      <w:r>
        <w:rPr>
          <w:rFonts w:ascii="Aptos" w:hAnsi="Aptos"/>
          <w:b/>
          <w:sz w:val="21"/>
        </w:rPr>
        <w:t>The next control frontier is not only logging AI events. It is reading override behavior as a signal of authority stress before the enterprise mistakes repeated exception handling for normal control.</w:t>
      </w:r>
    </w:p>
    <w:p w14:paraId="0D3D1DC1" w14:textId="77777777" w:rsidR="00111F2C" w:rsidRDefault="00B95D33">
      <w:pPr>
        <w:spacing w:before="160"/>
        <w:jc w:val="center"/>
      </w:pPr>
      <w:r>
        <w:rPr>
          <w:noProof/>
        </w:rPr>
        <w:lastRenderedPageBreak/>
        <w:drawing>
          <wp:inline distT="0" distB="0" distL="0" distR="0" wp14:anchorId="1A02751F" wp14:editId="56950585">
            <wp:extent cx="6809105" cy="92767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9_claim_clean.png"/>
                    <pic:cNvPicPr/>
                  </pic:nvPicPr>
                  <pic:blipFill>
                    <a:blip r:embed="rId10"/>
                    <a:stretch>
                      <a:fillRect/>
                    </a:stretch>
                  </pic:blipFill>
                  <pic:spPr>
                    <a:xfrm>
                      <a:off x="0" y="0"/>
                      <a:ext cx="6826842" cy="930089"/>
                    </a:xfrm>
                    <a:prstGeom prst="rect">
                      <a:avLst/>
                    </a:prstGeom>
                  </pic:spPr>
                </pic:pic>
              </a:graphicData>
            </a:graphic>
          </wp:inline>
        </w:drawing>
      </w:r>
    </w:p>
    <w:p w14:paraId="7CAB31F4" w14:textId="77777777" w:rsidR="00111F2C" w:rsidRPr="009F3AFE" w:rsidRDefault="00B95D33">
      <w:pPr>
        <w:spacing w:before="280" w:after="140"/>
        <w:rPr>
          <w:rFonts w:ascii="Georgia" w:hAnsi="Georgia"/>
        </w:rPr>
      </w:pPr>
      <w:r w:rsidRPr="009F3AFE">
        <w:rPr>
          <w:rFonts w:ascii="Georgia" w:hAnsi="Georgia"/>
          <w:b/>
          <w:color w:val="E86811"/>
          <w:sz w:val="44"/>
        </w:rPr>
        <w:t>Source Notes</w:t>
      </w:r>
    </w:p>
    <w:p w14:paraId="4EA84A5C" w14:textId="77777777" w:rsidR="00111F2C" w:rsidRPr="009F3AFE" w:rsidRDefault="00B95D33">
      <w:pPr>
        <w:spacing w:after="80" w:line="240" w:lineRule="auto"/>
        <w:rPr>
          <w:sz w:val="18"/>
          <w:szCs w:val="18"/>
        </w:rPr>
      </w:pPr>
      <w:r w:rsidRPr="009F3AFE">
        <w:rPr>
          <w:rFonts w:ascii="Aptos" w:hAnsi="Aptos"/>
          <w:b/>
          <w:color w:val="E86811"/>
          <w:sz w:val="18"/>
          <w:szCs w:val="18"/>
        </w:rPr>
        <w:t xml:space="preserve">1. </w:t>
      </w:r>
      <w:r w:rsidRPr="009F3AFE">
        <w:rPr>
          <w:rFonts w:ascii="Aptos" w:hAnsi="Aptos"/>
          <w:sz w:val="18"/>
          <w:szCs w:val="18"/>
        </w:rPr>
        <w:t>NIST AI Risk Management Framework. The AI RMF Core is composed of four high level functions: Govern, Map, Measure, and Manage. Source: https://airc.nist.gov/airmf-resources/airmf/5-sec-core/</w:t>
      </w:r>
    </w:p>
    <w:p w14:paraId="29399AD8" w14:textId="77777777" w:rsidR="00111F2C" w:rsidRPr="009F3AFE" w:rsidRDefault="00B95D33">
      <w:pPr>
        <w:spacing w:after="80" w:line="240" w:lineRule="auto"/>
        <w:rPr>
          <w:sz w:val="18"/>
          <w:szCs w:val="18"/>
        </w:rPr>
      </w:pPr>
      <w:r w:rsidRPr="009F3AFE">
        <w:rPr>
          <w:rFonts w:ascii="Aptos" w:hAnsi="Aptos"/>
          <w:b/>
          <w:color w:val="E86811"/>
          <w:sz w:val="18"/>
          <w:szCs w:val="18"/>
        </w:rPr>
        <w:t xml:space="preserve">2. </w:t>
      </w:r>
      <w:r w:rsidRPr="009F3AFE">
        <w:rPr>
          <w:rFonts w:ascii="Aptos" w:hAnsi="Aptos"/>
          <w:sz w:val="18"/>
          <w:szCs w:val="18"/>
        </w:rPr>
        <w:t xml:space="preserve">EU AI Act, Articles 12 and 14. Article 12 addresses automatic recording of events for </w:t>
      </w:r>
      <w:proofErr w:type="gramStart"/>
      <w:r w:rsidRPr="009F3AFE">
        <w:rPr>
          <w:rFonts w:ascii="Aptos" w:hAnsi="Aptos"/>
          <w:sz w:val="18"/>
          <w:szCs w:val="18"/>
        </w:rPr>
        <w:t>high risk</w:t>
      </w:r>
      <w:proofErr w:type="gramEnd"/>
      <w:r w:rsidRPr="009F3AFE">
        <w:rPr>
          <w:rFonts w:ascii="Aptos" w:hAnsi="Aptos"/>
          <w:sz w:val="18"/>
          <w:szCs w:val="18"/>
        </w:rPr>
        <w:t xml:space="preserve"> AI systems, and Article 14 addresses human oversight for </w:t>
      </w:r>
      <w:proofErr w:type="gramStart"/>
      <w:r w:rsidRPr="009F3AFE">
        <w:rPr>
          <w:rFonts w:ascii="Aptos" w:hAnsi="Aptos"/>
          <w:sz w:val="18"/>
          <w:szCs w:val="18"/>
        </w:rPr>
        <w:t>high risk</w:t>
      </w:r>
      <w:proofErr w:type="gramEnd"/>
      <w:r w:rsidRPr="009F3AFE">
        <w:rPr>
          <w:rFonts w:ascii="Aptos" w:hAnsi="Aptos"/>
          <w:sz w:val="18"/>
          <w:szCs w:val="18"/>
        </w:rPr>
        <w:t xml:space="preserve"> AI systems. Source: https://eur-lex.europa.eu/eli/reg/2024/1689/oj/eng</w:t>
      </w:r>
    </w:p>
    <w:p w14:paraId="21F607C5" w14:textId="77777777" w:rsidR="00111F2C" w:rsidRPr="009F3AFE" w:rsidRDefault="00B95D33">
      <w:pPr>
        <w:spacing w:after="80" w:line="240" w:lineRule="auto"/>
        <w:rPr>
          <w:sz w:val="18"/>
          <w:szCs w:val="18"/>
        </w:rPr>
      </w:pPr>
      <w:r w:rsidRPr="009F3AFE">
        <w:rPr>
          <w:rFonts w:ascii="Aptos" w:hAnsi="Aptos"/>
          <w:b/>
          <w:color w:val="E86811"/>
          <w:sz w:val="18"/>
          <w:szCs w:val="18"/>
        </w:rPr>
        <w:t xml:space="preserve">3. </w:t>
      </w:r>
      <w:r w:rsidRPr="009F3AFE">
        <w:rPr>
          <w:rFonts w:ascii="Aptos" w:hAnsi="Aptos"/>
          <w:sz w:val="18"/>
          <w:szCs w:val="18"/>
        </w:rPr>
        <w:t>OECD AI Principles. Accountability includes traceability in relation to datasets, processes, and decisions made during the AI system lifecycle. Source: https://www.oecd.org/en/topics/sub-issues/ai-principles.html</w:t>
      </w:r>
    </w:p>
    <w:p w14:paraId="447C684E" w14:textId="77777777" w:rsidR="00111F2C" w:rsidRPr="004F118A" w:rsidRDefault="00B95D33" w:rsidP="009F3AFE">
      <w:pPr>
        <w:spacing w:after="0" w:line="240" w:lineRule="auto"/>
        <w:rPr>
          <w:rFonts w:ascii="Aptos" w:hAnsi="Aptos"/>
          <w:sz w:val="18"/>
          <w:szCs w:val="18"/>
        </w:rPr>
      </w:pPr>
      <w:r w:rsidRPr="004F118A">
        <w:rPr>
          <w:rFonts w:ascii="Aptos" w:hAnsi="Aptos"/>
          <w:b/>
          <w:color w:val="E86811"/>
          <w:sz w:val="18"/>
          <w:szCs w:val="18"/>
        </w:rPr>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1F761A05" w14:textId="77777777" w:rsidR="004F118A" w:rsidRDefault="004F118A" w:rsidP="004F118A">
      <w:pPr>
        <w:spacing w:after="0" w:line="240" w:lineRule="auto"/>
      </w:pPr>
      <w:r w:rsidRPr="004F118A">
        <w:rPr>
          <w:rFonts w:ascii="Aptos" w:hAnsi="Aptos"/>
          <w:b/>
          <w:color w:val="FF6A00"/>
          <w:sz w:val="18"/>
          <w:szCs w:val="18"/>
        </w:rPr>
        <w:t>Publication series: Decision Governance Strategic Intelligence Series</w:t>
      </w:r>
    </w:p>
    <w:p w14:paraId="4198D6D2" w14:textId="77777777" w:rsidR="004F118A" w:rsidRDefault="004F118A" w:rsidP="009F3AFE">
      <w:pPr>
        <w:spacing w:after="0" w:line="240" w:lineRule="auto"/>
      </w:pPr>
    </w:p>
    <w:sectPr w:rsidR="004F118A" w:rsidSect="00034616">
      <w:headerReference w:type="default" r:id="rId11"/>
      <w:footerReference w:type="default" r:id="rId12"/>
      <w:pgSz w:w="12240" w:h="15840"/>
      <w:pgMar w:top="547" w:right="749" w:bottom="64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314B9" w14:textId="77777777" w:rsidR="003E5A9D" w:rsidRDefault="003E5A9D">
      <w:pPr>
        <w:spacing w:after="0" w:line="240" w:lineRule="auto"/>
      </w:pPr>
      <w:r>
        <w:separator/>
      </w:r>
    </w:p>
  </w:endnote>
  <w:endnote w:type="continuationSeparator" w:id="0">
    <w:p w14:paraId="138124BF" w14:textId="77777777" w:rsidR="003E5A9D" w:rsidRDefault="003E5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242C" w14:textId="77777777" w:rsidR="00111F2C" w:rsidRDefault="00B95D33">
    <w:pPr>
      <w:pStyle w:val="Footer"/>
      <w:jc w:val="center"/>
    </w:pPr>
    <w:r>
      <w:rPr>
        <w:rFonts w:ascii="Aptos" w:hAnsi="Aptos"/>
        <w:color w:val="787878"/>
        <w:sz w:val="16"/>
      </w:rPr>
      <w:t>Why Override Logs Expose Control Stress Inside The Enterprise.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D0FD" w14:textId="77777777" w:rsidR="003E5A9D" w:rsidRDefault="003E5A9D">
      <w:pPr>
        <w:spacing w:after="0" w:line="240" w:lineRule="auto"/>
      </w:pPr>
      <w:r>
        <w:separator/>
      </w:r>
    </w:p>
  </w:footnote>
  <w:footnote w:type="continuationSeparator" w:id="0">
    <w:p w14:paraId="1D9A220C" w14:textId="77777777" w:rsidR="003E5A9D" w:rsidRDefault="003E5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82FD" w14:textId="77777777" w:rsidR="00111F2C" w:rsidRDefault="00B95D33">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279066">
    <w:abstractNumId w:val="8"/>
  </w:num>
  <w:num w:numId="2" w16cid:durableId="363755548">
    <w:abstractNumId w:val="6"/>
  </w:num>
  <w:num w:numId="3" w16cid:durableId="1826775272">
    <w:abstractNumId w:val="5"/>
  </w:num>
  <w:num w:numId="4" w16cid:durableId="1508404024">
    <w:abstractNumId w:val="4"/>
  </w:num>
  <w:num w:numId="5" w16cid:durableId="920795903">
    <w:abstractNumId w:val="7"/>
  </w:num>
  <w:num w:numId="6" w16cid:durableId="2084137816">
    <w:abstractNumId w:val="3"/>
  </w:num>
  <w:num w:numId="7" w16cid:durableId="804350790">
    <w:abstractNumId w:val="2"/>
  </w:num>
  <w:num w:numId="8" w16cid:durableId="1989088152">
    <w:abstractNumId w:val="1"/>
  </w:num>
  <w:num w:numId="9" w16cid:durableId="193188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F2C"/>
    <w:rsid w:val="0015074B"/>
    <w:rsid w:val="0029639D"/>
    <w:rsid w:val="00326F90"/>
    <w:rsid w:val="003E5A9D"/>
    <w:rsid w:val="004F118A"/>
    <w:rsid w:val="00943EC2"/>
    <w:rsid w:val="009F3AFE"/>
    <w:rsid w:val="00AA1D8D"/>
    <w:rsid w:val="00B47730"/>
    <w:rsid w:val="00B95D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34B77"/>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3</cp:revision>
  <dcterms:created xsi:type="dcterms:W3CDTF">2026-05-11T20:44:00Z</dcterms:created>
  <dcterms:modified xsi:type="dcterms:W3CDTF">2026-05-11T21:38:00Z</dcterms:modified>
  <cp:category/>
</cp:coreProperties>
</file>