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E1A99" w14:textId="77777777" w:rsidR="001D04AF" w:rsidRDefault="003734F3">
      <w:r>
        <w:rPr>
          <w:noProof/>
        </w:rPr>
        <w:drawing>
          <wp:inline distT="0" distB="0" distL="0" distR="0" wp14:anchorId="6D6F2F15" wp14:editId="7E1BB59F">
            <wp:extent cx="6918960" cy="14560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sletter14_hero.png"/>
                    <pic:cNvPicPr/>
                  </pic:nvPicPr>
                  <pic:blipFill>
                    <a:blip r:embed="rId8"/>
                    <a:stretch>
                      <a:fillRect/>
                    </a:stretch>
                  </pic:blipFill>
                  <pic:spPr>
                    <a:xfrm>
                      <a:off x="0" y="0"/>
                      <a:ext cx="6919565" cy="1456182"/>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3838"/>
        <w:gridCol w:w="3648"/>
        <w:gridCol w:w="3432"/>
      </w:tblGrid>
      <w:tr w:rsidR="001D04AF" w14:paraId="77DA93B3" w14:textId="77777777" w:rsidTr="000A085D">
        <w:trPr>
          <w:jc w:val="center"/>
        </w:trPr>
        <w:tc>
          <w:tcPr>
            <w:tcW w:w="3838" w:type="dxa"/>
            <w:tcBorders>
              <w:top w:val="single" w:sz="4" w:space="0" w:color="DDDDDD"/>
              <w:left w:val="single" w:sz="4" w:space="0" w:color="DDDDDD"/>
              <w:bottom w:val="single" w:sz="4" w:space="0" w:color="DDDDDD"/>
              <w:right w:val="single" w:sz="4" w:space="0" w:color="DDDDDD"/>
            </w:tcBorders>
            <w:shd w:val="clear" w:color="auto" w:fill="F7F7F7"/>
            <w:vAlign w:val="center"/>
          </w:tcPr>
          <w:p w14:paraId="473F135B" w14:textId="77777777" w:rsidR="001D04AF" w:rsidRPr="00AF71E4" w:rsidRDefault="003734F3" w:rsidP="0012120F">
            <w:pPr>
              <w:spacing w:after="0" w:line="240" w:lineRule="auto"/>
              <w:jc w:val="center"/>
            </w:pPr>
            <w:r w:rsidRPr="00AF71E4">
              <w:rPr>
                <w:b/>
                <w:color w:val="D9630B"/>
              </w:rPr>
              <w:t>ESTIMATED READ TIME</w:t>
            </w:r>
            <w:r w:rsidRPr="00AF71E4">
              <w:br/>
            </w:r>
            <w:r w:rsidRPr="00AF71E4">
              <w:rPr>
                <w:b/>
                <w:color w:val="222222"/>
              </w:rPr>
              <w:t>4 minutes</w:t>
            </w:r>
          </w:p>
        </w:tc>
        <w:tc>
          <w:tcPr>
            <w:tcW w:w="3648" w:type="dxa"/>
            <w:tcBorders>
              <w:top w:val="single" w:sz="4" w:space="0" w:color="DDDDDD"/>
              <w:left w:val="single" w:sz="4" w:space="0" w:color="DDDDDD"/>
              <w:bottom w:val="single" w:sz="4" w:space="0" w:color="DDDDDD"/>
              <w:right w:val="single" w:sz="4" w:space="0" w:color="DDDDDD"/>
            </w:tcBorders>
            <w:shd w:val="clear" w:color="auto" w:fill="F7F7F7"/>
            <w:vAlign w:val="center"/>
          </w:tcPr>
          <w:p w14:paraId="59D6779A" w14:textId="77777777" w:rsidR="001D04AF" w:rsidRPr="00AF71E4" w:rsidRDefault="003734F3" w:rsidP="0012120F">
            <w:pPr>
              <w:spacing w:after="0" w:line="240" w:lineRule="auto"/>
              <w:jc w:val="center"/>
            </w:pPr>
            <w:r w:rsidRPr="00AF71E4">
              <w:rPr>
                <w:b/>
                <w:color w:val="D9630B"/>
              </w:rPr>
              <w:t>APPROXIMATE WORD COUNT</w:t>
            </w:r>
            <w:r w:rsidRPr="00AF71E4">
              <w:br/>
            </w:r>
            <w:r w:rsidRPr="00AF71E4">
              <w:rPr>
                <w:b/>
                <w:color w:val="222222"/>
              </w:rPr>
              <w:t>860 words</w:t>
            </w:r>
          </w:p>
        </w:tc>
        <w:tc>
          <w:tcPr>
            <w:tcW w:w="3432" w:type="dxa"/>
            <w:tcBorders>
              <w:top w:val="single" w:sz="4" w:space="0" w:color="DDDDDD"/>
              <w:left w:val="single" w:sz="4" w:space="0" w:color="DDDDDD"/>
              <w:bottom w:val="single" w:sz="4" w:space="0" w:color="DDDDDD"/>
              <w:right w:val="single" w:sz="4" w:space="0" w:color="DDDDDD"/>
            </w:tcBorders>
            <w:shd w:val="clear" w:color="auto" w:fill="F7F7F7"/>
            <w:vAlign w:val="center"/>
          </w:tcPr>
          <w:p w14:paraId="13B73E38" w14:textId="77777777" w:rsidR="001D04AF" w:rsidRPr="00AF71E4" w:rsidRDefault="003734F3" w:rsidP="0012120F">
            <w:pPr>
              <w:spacing w:after="0" w:line="240" w:lineRule="auto"/>
              <w:jc w:val="center"/>
            </w:pPr>
            <w:r w:rsidRPr="00AF71E4">
              <w:rPr>
                <w:b/>
                <w:color w:val="D9630B"/>
              </w:rPr>
              <w:t>PURPOSE</w:t>
            </w:r>
            <w:r w:rsidRPr="00AF71E4">
              <w:br/>
            </w:r>
            <w:r w:rsidRPr="00AF71E4">
              <w:rPr>
                <w:b/>
                <w:color w:val="222222"/>
              </w:rPr>
              <w:t>Thought leadership essay</w:t>
            </w:r>
          </w:p>
        </w:tc>
      </w:tr>
    </w:tbl>
    <w:tbl>
      <w:tblPr>
        <w:tblW w:w="0" w:type="auto"/>
        <w:tblInd w:w="-15" w:type="dxa"/>
        <w:tblLook w:val="04A0" w:firstRow="1" w:lastRow="0" w:firstColumn="1" w:lastColumn="0" w:noHBand="0" w:noVBand="1"/>
      </w:tblPr>
      <w:tblGrid>
        <w:gridCol w:w="10929"/>
      </w:tblGrid>
      <w:tr w:rsidR="001D04AF" w14:paraId="098AA998" w14:textId="77777777" w:rsidTr="000A085D">
        <w:trPr>
          <w:trHeight w:val="825"/>
        </w:trPr>
        <w:tc>
          <w:tcPr>
            <w:tcW w:w="10929" w:type="dxa"/>
            <w:tcBorders>
              <w:top w:val="single" w:sz="12" w:space="0" w:color="F58220"/>
              <w:left w:val="single" w:sz="12" w:space="0" w:color="F58220"/>
              <w:bottom w:val="single" w:sz="12" w:space="0" w:color="F58220"/>
              <w:right w:val="single" w:sz="12" w:space="0" w:color="F58220"/>
            </w:tcBorders>
            <w:shd w:val="clear" w:color="auto" w:fill="111719"/>
          </w:tcPr>
          <w:p w14:paraId="1761446C" w14:textId="77777777" w:rsidR="001D04AF" w:rsidRDefault="003734F3" w:rsidP="00AF71E4">
            <w:pPr>
              <w:spacing w:after="0" w:line="240" w:lineRule="auto"/>
              <w:jc w:val="center"/>
            </w:pPr>
            <w:r>
              <w:rPr>
                <w:b/>
                <w:color w:val="F58220"/>
                <w:sz w:val="21"/>
              </w:rPr>
              <w:t>Core position:</w:t>
            </w:r>
            <w:r>
              <w:rPr>
                <w:b/>
                <w:color w:val="F58220"/>
                <w:sz w:val="21"/>
              </w:rPr>
              <w:br/>
            </w:r>
            <w:r>
              <w:rPr>
                <w:b/>
                <w:color w:val="FFFFFF"/>
              </w:rPr>
              <w:t>Europe creates pressure around risk management, record keeping, and human oversight, but Jochanni Labs cannot allow the DAL-X thesis to collapse into regional compliance language.</w:t>
            </w:r>
          </w:p>
        </w:tc>
      </w:tr>
    </w:tbl>
    <w:p w14:paraId="12748CA5" w14:textId="77777777" w:rsidR="0012120F" w:rsidRDefault="0012120F" w:rsidP="0012120F">
      <w:pPr>
        <w:spacing w:after="0" w:line="240" w:lineRule="auto"/>
        <w:rPr>
          <w:b/>
          <w:color w:val="F58220"/>
          <w:sz w:val="40"/>
        </w:rPr>
      </w:pPr>
    </w:p>
    <w:p w14:paraId="2798F533" w14:textId="5C06F868" w:rsidR="001D04AF" w:rsidRPr="00AF71E4" w:rsidRDefault="003734F3">
      <w:pPr>
        <w:spacing w:after="160" w:line="259" w:lineRule="auto"/>
        <w:rPr>
          <w:rFonts w:ascii="Georgia" w:hAnsi="Georgia"/>
          <w:sz w:val="44"/>
          <w:szCs w:val="44"/>
        </w:rPr>
      </w:pPr>
      <w:r w:rsidRPr="00AF71E4">
        <w:rPr>
          <w:rFonts w:ascii="Georgia" w:hAnsi="Georgia"/>
          <w:b/>
          <w:color w:val="F58220"/>
          <w:sz w:val="44"/>
          <w:szCs w:val="44"/>
        </w:rPr>
        <w:t>Essay</w:t>
      </w:r>
    </w:p>
    <w:p w14:paraId="32037C38" w14:textId="77777777" w:rsidR="001D04AF" w:rsidRPr="00E463BA" w:rsidRDefault="003734F3">
      <w:pPr>
        <w:spacing w:after="120" w:line="254" w:lineRule="auto"/>
        <w:rPr>
          <w:rFonts w:ascii="Aptos" w:hAnsi="Aptos"/>
        </w:rPr>
      </w:pPr>
      <w:r w:rsidRPr="00E463BA">
        <w:rPr>
          <w:rFonts w:ascii="Aptos" w:hAnsi="Aptos"/>
          <w:color w:val="1D1D1D"/>
        </w:rPr>
        <w:t>Europe sharpens the DAL-X wedge because it forces enterprises to confront AI participation through risk management, record keeping, and human oversight. This pressure is useful. It gives the market a clearer language for accountability and a stronger reason to examine how AI enters consequential workflows. The mistake would be allowing Europe to define the whole company, because Jochanni Labs is not building a regional compliance response. Jochanni Labs is building the Decision Governance category.</w:t>
      </w:r>
    </w:p>
    <w:p w14:paraId="4AC15040" w14:textId="77777777" w:rsidR="001D04AF" w:rsidRPr="00E463BA" w:rsidRDefault="003734F3">
      <w:pPr>
        <w:spacing w:after="120" w:line="254" w:lineRule="auto"/>
        <w:rPr>
          <w:rFonts w:ascii="Aptos" w:hAnsi="Aptos"/>
        </w:rPr>
      </w:pPr>
      <w:r w:rsidRPr="00E463BA">
        <w:rPr>
          <w:rFonts w:ascii="Aptos" w:hAnsi="Aptos"/>
          <w:color w:val="1D1D1D"/>
        </w:rPr>
        <w:t xml:space="preserve">The EU AI Act gives the market a visible forcing function. Its </w:t>
      </w:r>
      <w:proofErr w:type="gramStart"/>
      <w:r w:rsidRPr="00E463BA">
        <w:rPr>
          <w:rFonts w:ascii="Aptos" w:hAnsi="Aptos"/>
          <w:color w:val="1D1D1D"/>
        </w:rPr>
        <w:t>high risk</w:t>
      </w:r>
      <w:proofErr w:type="gramEnd"/>
      <w:r w:rsidRPr="00E463BA">
        <w:rPr>
          <w:rFonts w:ascii="Aptos" w:hAnsi="Aptos"/>
          <w:color w:val="1D1D1D"/>
        </w:rPr>
        <w:t xml:space="preserve"> system requirements include a risk management system, technical documentation, record keeping, transparency to deployers, human oversight, and related operating controls. Those requirements create a more disciplined conversation around AI systems that can affect people, institutions, and regulated outcomes. Europe does not create the need for Decision Governance. Europe makes the need harder to ignore.</w:t>
      </w:r>
      <w:r w:rsidRPr="00E463BA">
        <w:rPr>
          <w:rFonts w:ascii="Aptos" w:hAnsi="Aptos"/>
          <w:b/>
          <w:color w:val="D9630B"/>
          <w:vertAlign w:val="superscript"/>
        </w:rPr>
        <w:t>1</w:t>
      </w:r>
    </w:p>
    <w:p w14:paraId="75309445" w14:textId="77777777" w:rsidR="001D04AF" w:rsidRPr="00E463BA" w:rsidRDefault="003734F3">
      <w:pPr>
        <w:spacing w:after="120" w:line="254" w:lineRule="auto"/>
        <w:rPr>
          <w:rFonts w:ascii="Aptos" w:hAnsi="Aptos"/>
        </w:rPr>
      </w:pPr>
      <w:r w:rsidRPr="00E463BA">
        <w:rPr>
          <w:rFonts w:ascii="Aptos" w:hAnsi="Aptos"/>
          <w:color w:val="1D1D1D"/>
        </w:rPr>
        <w:t>The distinction is critical. A compliance wedge can open the door, but it should not become the ceiling. If the market hears only EU AI Act readiness, DAL-X becomes easier to confuse with a legal checklist, a policy tracker, or a regulatory documentation tool. Such framing would shrink the architecture too early. The enterprise problem is larger than one statute, one geography, or one compliance deadline. AI influenced work is moving toward decisions in banks, insurers, broker dealers, healthcare organizations, law firms, product teams, operations groups, and public institutions. Authority will be tested wherever AI output begins shaping action.</w:t>
      </w:r>
    </w:p>
    <w:p w14:paraId="63B4FFEB" w14:textId="77777777" w:rsidR="001D04AF" w:rsidRPr="00E463BA" w:rsidRDefault="003734F3">
      <w:pPr>
        <w:spacing w:after="120" w:line="254" w:lineRule="auto"/>
        <w:rPr>
          <w:rFonts w:ascii="Aptos" w:hAnsi="Aptos"/>
        </w:rPr>
      </w:pPr>
      <w:r w:rsidRPr="00E463BA">
        <w:rPr>
          <w:rFonts w:ascii="Aptos" w:hAnsi="Aptos"/>
          <w:color w:val="1D1D1D"/>
        </w:rPr>
        <w:t>A European buyer may begin with a practical question about risk management or human oversight. A United States buyer may begin with operational risk, model risk, board accountability, customer impact, financial controls, or AI transformation. Those entry points are different, but the control question is aligned: what did AI influence, who had authority, which review condition applied, and what evidence proves the action was permitted before the enterprise moved?</w:t>
      </w:r>
    </w:p>
    <w:p w14:paraId="31CAC718" w14:textId="77777777" w:rsidR="001D04AF" w:rsidRPr="00E463BA" w:rsidRDefault="003734F3">
      <w:pPr>
        <w:spacing w:after="120" w:line="254" w:lineRule="auto"/>
        <w:rPr>
          <w:rFonts w:ascii="Aptos" w:hAnsi="Aptos"/>
        </w:rPr>
      </w:pPr>
      <w:r w:rsidRPr="00E463BA">
        <w:rPr>
          <w:rFonts w:ascii="Aptos" w:hAnsi="Aptos"/>
          <w:color w:val="1D1D1D"/>
        </w:rPr>
        <w:t xml:space="preserve">A bank operating in Europe may need to show that a </w:t>
      </w:r>
      <w:proofErr w:type="gramStart"/>
      <w:r w:rsidRPr="00E463BA">
        <w:rPr>
          <w:rFonts w:ascii="Aptos" w:hAnsi="Aptos"/>
          <w:color w:val="1D1D1D"/>
        </w:rPr>
        <w:t>high risk</w:t>
      </w:r>
      <w:proofErr w:type="gramEnd"/>
      <w:r w:rsidRPr="00E463BA">
        <w:rPr>
          <w:rFonts w:ascii="Aptos" w:hAnsi="Aptos"/>
          <w:color w:val="1D1D1D"/>
        </w:rPr>
        <w:t xml:space="preserve"> AI system has lifecycle risk management, event logging, and human oversight. The same bank operating in the United States may need to satisfy internal risk committees, legal review, supervisory expectations, customer complaint handling, and board oversight. The regulatory route may differ, but the control failure is the same when AI influenced work moves faster than the institution can prove authority.</w:t>
      </w:r>
    </w:p>
    <w:tbl>
      <w:tblPr>
        <w:tblW w:w="10944" w:type="dxa"/>
        <w:jc w:val="center"/>
        <w:tblLayout w:type="fixed"/>
        <w:tblLook w:val="04A0" w:firstRow="1" w:lastRow="0" w:firstColumn="1" w:lastColumn="0" w:noHBand="0" w:noVBand="1"/>
      </w:tblPr>
      <w:tblGrid>
        <w:gridCol w:w="1882"/>
        <w:gridCol w:w="9062"/>
      </w:tblGrid>
      <w:tr w:rsidR="001D04AF" w14:paraId="7B8DE3C0" w14:textId="77777777" w:rsidTr="00AF71E4">
        <w:trPr>
          <w:jc w:val="center"/>
        </w:trPr>
        <w:tc>
          <w:tcPr>
            <w:tcW w:w="1882" w:type="dxa"/>
            <w:tcBorders>
              <w:top w:val="single" w:sz="6" w:space="0" w:color="DDDDDD"/>
              <w:left w:val="single" w:sz="6" w:space="0" w:color="DDDDDD"/>
              <w:bottom w:val="single" w:sz="6" w:space="0" w:color="DDDDDD"/>
              <w:right w:val="single" w:sz="6" w:space="0" w:color="DDDDDD"/>
            </w:tcBorders>
            <w:shd w:val="clear" w:color="auto" w:fill="0B0F10"/>
            <w:vAlign w:val="center"/>
          </w:tcPr>
          <w:p w14:paraId="4B44ACB3" w14:textId="77777777" w:rsidR="001D04AF" w:rsidRDefault="003734F3">
            <w:pPr>
              <w:jc w:val="center"/>
            </w:pPr>
            <w:r>
              <w:rPr>
                <w:noProof/>
              </w:rPr>
              <w:lastRenderedPageBreak/>
              <w:drawing>
                <wp:inline distT="0" distB="0" distL="0" distR="0" wp14:anchorId="64D55FBF" wp14:editId="68C716D3">
                  <wp:extent cx="1051560" cy="1051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L logo(5).jpg"/>
                          <pic:cNvPicPr/>
                        </pic:nvPicPr>
                        <pic:blipFill>
                          <a:blip r:embed="rId9"/>
                          <a:stretch>
                            <a:fillRect/>
                          </a:stretch>
                        </pic:blipFill>
                        <pic:spPr>
                          <a:xfrm>
                            <a:off x="0" y="0"/>
                            <a:ext cx="1051560" cy="1051560"/>
                          </a:xfrm>
                          <a:prstGeom prst="rect">
                            <a:avLst/>
                          </a:prstGeom>
                        </pic:spPr>
                      </pic:pic>
                    </a:graphicData>
                  </a:graphic>
                </wp:inline>
              </w:drawing>
            </w:r>
          </w:p>
        </w:tc>
        <w:tc>
          <w:tcPr>
            <w:tcW w:w="9062" w:type="dxa"/>
            <w:tcBorders>
              <w:top w:val="single" w:sz="6" w:space="0" w:color="DDDDDD"/>
              <w:left w:val="single" w:sz="6" w:space="0" w:color="DDDDDD"/>
              <w:bottom w:val="single" w:sz="6" w:space="0" w:color="DDDDDD"/>
              <w:right w:val="single" w:sz="6" w:space="0" w:color="DDDDDD"/>
            </w:tcBorders>
            <w:shd w:val="clear" w:color="auto" w:fill="F9F9F9"/>
            <w:vAlign w:val="center"/>
          </w:tcPr>
          <w:p w14:paraId="24A225B9" w14:textId="77777777" w:rsidR="001D04AF" w:rsidRDefault="003734F3" w:rsidP="0012120F">
            <w:pPr>
              <w:spacing w:after="0" w:line="240" w:lineRule="auto"/>
              <w:jc w:val="center"/>
            </w:pPr>
            <w:r>
              <w:rPr>
                <w:b/>
                <w:color w:val="F58220"/>
                <w:sz w:val="21"/>
              </w:rPr>
              <w:t>MICRO EXAMPLE:</w:t>
            </w:r>
            <w:r>
              <w:rPr>
                <w:b/>
                <w:color w:val="F58220"/>
                <w:sz w:val="21"/>
              </w:rPr>
              <w:br/>
            </w:r>
            <w:r>
              <w:rPr>
                <w:b/>
                <w:color w:val="222222"/>
              </w:rPr>
              <w:t>A European compliance team may ask for AI Act readiness, while the real enterprise gap is whether AI influenced decisions have an authorized path before action moves forward. The regulation creates urgency. Decision Governance defines the operating category.</w:t>
            </w:r>
          </w:p>
        </w:tc>
      </w:tr>
    </w:tbl>
    <w:p w14:paraId="1A962489" w14:textId="77777777" w:rsidR="0012120F" w:rsidRDefault="0012120F">
      <w:pPr>
        <w:spacing w:after="120" w:line="254" w:lineRule="auto"/>
        <w:rPr>
          <w:color w:val="1D1D1D"/>
        </w:rPr>
      </w:pPr>
    </w:p>
    <w:p w14:paraId="0D6729C6" w14:textId="10DD731F" w:rsidR="001D04AF" w:rsidRPr="00E463BA" w:rsidRDefault="003734F3">
      <w:pPr>
        <w:spacing w:after="120" w:line="254" w:lineRule="auto"/>
        <w:rPr>
          <w:rFonts w:ascii="Aptos" w:hAnsi="Aptos"/>
        </w:rPr>
      </w:pPr>
      <w:r w:rsidRPr="00E463BA">
        <w:rPr>
          <w:rFonts w:ascii="Aptos" w:hAnsi="Aptos"/>
          <w:color w:val="1D1D1D"/>
        </w:rPr>
        <w:t>Europe is powerful because it sharpens buyer urgency. It names requirements that are already adjacent to the DAL-X thesis: continuous risk management, traceability, logs, oversight, intervention, and accountability. Those concepts point toward operational control. They also expose the gap between documentation and runtime authority. An enterprise can prepare a compliance file and still fail to govern the decision path created by AI participation. The control layer has to live closer to the point where AI influenced work becomes consequential.</w:t>
      </w:r>
      <w:r w:rsidRPr="00E463BA">
        <w:rPr>
          <w:rFonts w:ascii="Aptos" w:hAnsi="Aptos"/>
          <w:b/>
          <w:color w:val="D9630B"/>
          <w:vertAlign w:val="superscript"/>
        </w:rPr>
        <w:t>2,3</w:t>
      </w:r>
    </w:p>
    <w:p w14:paraId="49BA4F7F" w14:textId="77777777" w:rsidR="001D04AF" w:rsidRPr="00E463BA" w:rsidRDefault="003734F3">
      <w:pPr>
        <w:spacing w:after="120" w:line="254" w:lineRule="auto"/>
        <w:rPr>
          <w:rFonts w:ascii="Aptos" w:hAnsi="Aptos"/>
        </w:rPr>
      </w:pPr>
      <w:r w:rsidRPr="00E463BA">
        <w:rPr>
          <w:rFonts w:ascii="Aptos" w:hAnsi="Aptos"/>
          <w:color w:val="1D1D1D"/>
        </w:rPr>
        <w:t>NIST’s AI Risk Management Framework is useful as a counterweight because it shows the same problem is not Europe specific. NIST frames AI systems as sociotechnical systems and organizes AI risk management through govern, map, measure, and manage functions. This framing supports a broader enterprise control view. Risk is not only in the model. Risk is also in how people use the output, how workflows absorb the recommendation, and how decisions move through authority structures after AI participation occurs.</w:t>
      </w:r>
      <w:r w:rsidRPr="00E463BA">
        <w:rPr>
          <w:rFonts w:ascii="Aptos" w:hAnsi="Aptos"/>
          <w:b/>
          <w:color w:val="D9630B"/>
          <w:vertAlign w:val="superscript"/>
        </w:rPr>
        <w:t>4</w:t>
      </w:r>
    </w:p>
    <w:p w14:paraId="0B888851" w14:textId="77777777" w:rsidR="001D04AF" w:rsidRPr="00E463BA" w:rsidRDefault="003734F3">
      <w:pPr>
        <w:spacing w:after="120" w:line="254" w:lineRule="auto"/>
        <w:rPr>
          <w:rFonts w:ascii="Aptos" w:hAnsi="Aptos"/>
        </w:rPr>
      </w:pPr>
      <w:r w:rsidRPr="00E463BA">
        <w:rPr>
          <w:rFonts w:ascii="Aptos" w:hAnsi="Aptos"/>
          <w:color w:val="1D1D1D"/>
        </w:rPr>
        <w:t>The Europe wedge should be used with discipline. It can create urgency, focus, and buyer recognition. It can help explain why record keeping, human oversight, and lifecycle risk controls are no longer optional topics for serious institutions. It can also help Jochanni Labs enter conversations where buyers already accept that AI participation requires proof. The wedge should not be allowed to rename the company, limit the category, or reduce Decision Governance to compliance support.</w:t>
      </w:r>
    </w:p>
    <w:p w14:paraId="0FE2425A" w14:textId="77777777" w:rsidR="001D04AF" w:rsidRPr="00E463BA" w:rsidRDefault="003734F3">
      <w:pPr>
        <w:spacing w:after="120" w:line="254" w:lineRule="auto"/>
        <w:rPr>
          <w:rFonts w:ascii="Aptos" w:hAnsi="Aptos"/>
        </w:rPr>
      </w:pPr>
      <w:r w:rsidRPr="00E463BA">
        <w:rPr>
          <w:rFonts w:ascii="Aptos" w:hAnsi="Aptos"/>
          <w:color w:val="1D1D1D"/>
        </w:rPr>
        <w:t>A mature category strategy separates market entry from category definition. Europe can be the entry point for certain buyers because it makes the control problem visible. Decision Governance remains the larger category because the enterprise need survives outside Europe. AI participation will require authority, consequence mapping, escalation, override control, evidence capture, and decision traceability wherever AI starts shaping real business action.</w:t>
      </w:r>
    </w:p>
    <w:p w14:paraId="76182FA3" w14:textId="77777777" w:rsidR="001D04AF" w:rsidRPr="00E463BA" w:rsidRDefault="003734F3">
      <w:pPr>
        <w:spacing w:after="120" w:line="254" w:lineRule="auto"/>
        <w:rPr>
          <w:rFonts w:ascii="Aptos" w:hAnsi="Aptos"/>
        </w:rPr>
      </w:pPr>
      <w:r w:rsidRPr="00E463BA">
        <w:rPr>
          <w:rFonts w:ascii="Aptos" w:hAnsi="Aptos"/>
          <w:color w:val="1D1D1D"/>
        </w:rPr>
        <w:t xml:space="preserve">DAL-X should be positioned inside that broader architecture. Europe helps prove the urgency of the wedge. It does not </w:t>
      </w:r>
      <w:proofErr w:type="gramStart"/>
      <w:r w:rsidRPr="00E463BA">
        <w:rPr>
          <w:rFonts w:ascii="Aptos" w:hAnsi="Aptos"/>
          <w:color w:val="1D1D1D"/>
        </w:rPr>
        <w:t>own the</w:t>
      </w:r>
      <w:proofErr w:type="gramEnd"/>
      <w:r w:rsidRPr="00E463BA">
        <w:rPr>
          <w:rFonts w:ascii="Aptos" w:hAnsi="Aptos"/>
          <w:color w:val="1D1D1D"/>
        </w:rPr>
        <w:t xml:space="preserve"> full thesis. Jochanni Labs should use Europe to sharpen the conversation, then carry the buyer into the larger category: enterprises need a way to govern AI influenced decisions before consequence is created.</w:t>
      </w:r>
    </w:p>
    <w:p w14:paraId="18E88238" w14:textId="77777777" w:rsidR="001D04AF" w:rsidRPr="00E463BA" w:rsidRDefault="003734F3">
      <w:pPr>
        <w:spacing w:after="120" w:line="254" w:lineRule="auto"/>
        <w:rPr>
          <w:rFonts w:ascii="Aptos" w:hAnsi="Aptos"/>
        </w:rPr>
      </w:pPr>
      <w:r w:rsidRPr="00E463BA">
        <w:rPr>
          <w:rFonts w:ascii="Aptos" w:hAnsi="Aptos"/>
          <w:color w:val="1D1D1D"/>
        </w:rPr>
        <w:t>The next category move is not to become an EU AI Act vendor. It is to use Europe as one proof point that Decision Governance is becoming unavoidable. Regulation can accelerate the conversation, but the enterprise control problem is larger than the regulation. The company has to remain anchored to the category it is building, not the jurisdiction that makes the first wedge easier to explain.</w:t>
      </w:r>
    </w:p>
    <w:tbl>
      <w:tblPr>
        <w:tblW w:w="10944" w:type="dxa"/>
        <w:jc w:val="center"/>
        <w:tblLayout w:type="fixed"/>
        <w:tblLook w:val="04A0" w:firstRow="1" w:lastRow="0" w:firstColumn="1" w:lastColumn="0" w:noHBand="0" w:noVBand="1"/>
      </w:tblPr>
      <w:tblGrid>
        <w:gridCol w:w="1880"/>
        <w:gridCol w:w="9064"/>
      </w:tblGrid>
      <w:tr w:rsidR="001D04AF" w14:paraId="10AA4473" w14:textId="77777777" w:rsidTr="00AF71E4">
        <w:trPr>
          <w:jc w:val="center"/>
        </w:trPr>
        <w:tc>
          <w:tcPr>
            <w:tcW w:w="1880" w:type="dxa"/>
            <w:tcBorders>
              <w:top w:val="single" w:sz="8" w:space="0" w:color="F58220"/>
              <w:left w:val="single" w:sz="8" w:space="0" w:color="F58220"/>
              <w:bottom w:val="single" w:sz="8" w:space="0" w:color="F58220"/>
              <w:right w:val="single" w:sz="8" w:space="0" w:color="F58220"/>
            </w:tcBorders>
            <w:shd w:val="clear" w:color="auto" w:fill="0B0F10"/>
            <w:vAlign w:val="center"/>
          </w:tcPr>
          <w:p w14:paraId="2AD85784" w14:textId="77777777" w:rsidR="001D04AF" w:rsidRDefault="003734F3">
            <w:pPr>
              <w:jc w:val="center"/>
            </w:pPr>
            <w:r>
              <w:rPr>
                <w:noProof/>
              </w:rPr>
              <w:drawing>
                <wp:inline distT="0" distB="0" distL="0" distR="0" wp14:anchorId="38C380D5" wp14:editId="3F323F99">
                  <wp:extent cx="1051560" cy="1051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L logo(5).jpg"/>
                          <pic:cNvPicPr/>
                        </pic:nvPicPr>
                        <pic:blipFill>
                          <a:blip r:embed="rId9"/>
                          <a:stretch>
                            <a:fillRect/>
                          </a:stretch>
                        </pic:blipFill>
                        <pic:spPr>
                          <a:xfrm>
                            <a:off x="0" y="0"/>
                            <a:ext cx="1051560" cy="1051560"/>
                          </a:xfrm>
                          <a:prstGeom prst="rect">
                            <a:avLst/>
                          </a:prstGeom>
                        </pic:spPr>
                      </pic:pic>
                    </a:graphicData>
                  </a:graphic>
                </wp:inline>
              </w:drawing>
            </w:r>
          </w:p>
        </w:tc>
        <w:tc>
          <w:tcPr>
            <w:tcW w:w="9064" w:type="dxa"/>
            <w:tcBorders>
              <w:top w:val="single" w:sz="8" w:space="0" w:color="F58220"/>
              <w:left w:val="single" w:sz="8" w:space="0" w:color="F58220"/>
              <w:bottom w:val="single" w:sz="8" w:space="0" w:color="F58220"/>
              <w:right w:val="single" w:sz="8" w:space="0" w:color="F58220"/>
            </w:tcBorders>
            <w:shd w:val="clear" w:color="auto" w:fill="FFF8F0"/>
            <w:vAlign w:val="center"/>
          </w:tcPr>
          <w:p w14:paraId="48A22D22" w14:textId="77777777" w:rsidR="001D04AF" w:rsidRDefault="003734F3">
            <w:pPr>
              <w:jc w:val="center"/>
            </w:pPr>
            <w:r>
              <w:rPr>
                <w:b/>
                <w:color w:val="F58220"/>
                <w:sz w:val="21"/>
              </w:rPr>
              <w:t>CATEGORY CLAIM:</w:t>
            </w:r>
            <w:r>
              <w:rPr>
                <w:b/>
                <w:color w:val="F58220"/>
                <w:sz w:val="21"/>
              </w:rPr>
              <w:br/>
            </w:r>
            <w:r>
              <w:rPr>
                <w:b/>
                <w:color w:val="222222"/>
              </w:rPr>
              <w:t>Europe can sharpen the DAL-X wedge, but Jochanni Labs must remain anchored to Decision Governance as the larger enterprise category.</w:t>
            </w:r>
          </w:p>
        </w:tc>
      </w:tr>
    </w:tbl>
    <w:p w14:paraId="493DDE62" w14:textId="77777777" w:rsidR="00AF71E4" w:rsidRDefault="00AF71E4" w:rsidP="00AF71E4">
      <w:pPr>
        <w:spacing w:after="0" w:line="240" w:lineRule="auto"/>
        <w:rPr>
          <w:rFonts w:ascii="Georgia" w:hAnsi="Georgia"/>
          <w:b/>
          <w:color w:val="F58220"/>
          <w:sz w:val="44"/>
          <w:szCs w:val="44"/>
        </w:rPr>
      </w:pPr>
    </w:p>
    <w:p w14:paraId="6F10B41C" w14:textId="7CF4751D" w:rsidR="001D04AF" w:rsidRPr="00AF71E4" w:rsidRDefault="003734F3">
      <w:pPr>
        <w:spacing w:after="100" w:line="259" w:lineRule="auto"/>
        <w:rPr>
          <w:rFonts w:ascii="Georgia" w:hAnsi="Georgia"/>
          <w:sz w:val="44"/>
          <w:szCs w:val="44"/>
        </w:rPr>
      </w:pPr>
      <w:r w:rsidRPr="00AF71E4">
        <w:rPr>
          <w:rFonts w:ascii="Georgia" w:hAnsi="Georgia"/>
          <w:b/>
          <w:color w:val="F58220"/>
          <w:sz w:val="44"/>
          <w:szCs w:val="44"/>
        </w:rPr>
        <w:t>Source Notes</w:t>
      </w:r>
    </w:p>
    <w:p w14:paraId="6EDA892F" w14:textId="77777777" w:rsidR="001D04AF" w:rsidRPr="00E463BA" w:rsidRDefault="003734F3">
      <w:pPr>
        <w:spacing w:after="60" w:line="240" w:lineRule="auto"/>
        <w:rPr>
          <w:rFonts w:ascii="Aptos" w:hAnsi="Aptos"/>
          <w:sz w:val="18"/>
          <w:szCs w:val="18"/>
        </w:rPr>
      </w:pPr>
      <w:r w:rsidRPr="00E463BA">
        <w:rPr>
          <w:rFonts w:ascii="Aptos" w:hAnsi="Aptos"/>
          <w:b/>
          <w:color w:val="D9630B"/>
          <w:sz w:val="18"/>
          <w:szCs w:val="18"/>
        </w:rPr>
        <w:t xml:space="preserve">1. </w:t>
      </w:r>
      <w:r w:rsidRPr="00E463BA">
        <w:rPr>
          <w:rFonts w:ascii="Aptos" w:hAnsi="Aptos"/>
          <w:color w:val="333333"/>
          <w:sz w:val="18"/>
          <w:szCs w:val="18"/>
        </w:rPr>
        <w:t xml:space="preserve">EU AI Act, Section 2, Requirements for </w:t>
      </w:r>
      <w:proofErr w:type="gramStart"/>
      <w:r w:rsidRPr="00E463BA">
        <w:rPr>
          <w:rFonts w:ascii="Aptos" w:hAnsi="Aptos"/>
          <w:color w:val="333333"/>
          <w:sz w:val="18"/>
          <w:szCs w:val="18"/>
        </w:rPr>
        <w:t>High Risk</w:t>
      </w:r>
      <w:proofErr w:type="gramEnd"/>
      <w:r w:rsidRPr="00E463BA">
        <w:rPr>
          <w:rFonts w:ascii="Aptos" w:hAnsi="Aptos"/>
          <w:color w:val="333333"/>
          <w:sz w:val="18"/>
          <w:szCs w:val="18"/>
        </w:rPr>
        <w:t xml:space="preserve"> AI Systems. Section 2 identifies requirements including risk management, technical documentation, record keeping, transparency, human oversight, and accuracy, robustness, and cybersecurity. Source: https://artificialintelligenceact.eu/section/3-2/</w:t>
      </w:r>
    </w:p>
    <w:p w14:paraId="50CDC962" w14:textId="77777777" w:rsidR="001D04AF" w:rsidRPr="00E463BA" w:rsidRDefault="003734F3">
      <w:pPr>
        <w:spacing w:after="60" w:line="240" w:lineRule="auto"/>
        <w:rPr>
          <w:rFonts w:ascii="Aptos" w:hAnsi="Aptos"/>
          <w:sz w:val="18"/>
          <w:szCs w:val="18"/>
        </w:rPr>
      </w:pPr>
      <w:r w:rsidRPr="00E463BA">
        <w:rPr>
          <w:rFonts w:ascii="Aptos" w:hAnsi="Aptos"/>
          <w:b/>
          <w:color w:val="D9630B"/>
          <w:sz w:val="18"/>
          <w:szCs w:val="18"/>
        </w:rPr>
        <w:lastRenderedPageBreak/>
        <w:t xml:space="preserve">2. </w:t>
      </w:r>
      <w:r w:rsidRPr="00E463BA">
        <w:rPr>
          <w:rFonts w:ascii="Aptos" w:hAnsi="Aptos"/>
          <w:color w:val="333333"/>
          <w:sz w:val="18"/>
          <w:szCs w:val="18"/>
        </w:rPr>
        <w:t xml:space="preserve">EU AI Act, Article 9. Article 9 requires a risk management system for </w:t>
      </w:r>
      <w:proofErr w:type="gramStart"/>
      <w:r w:rsidRPr="00E463BA">
        <w:rPr>
          <w:rFonts w:ascii="Aptos" w:hAnsi="Aptos"/>
          <w:color w:val="333333"/>
          <w:sz w:val="18"/>
          <w:szCs w:val="18"/>
        </w:rPr>
        <w:t>high risk</w:t>
      </w:r>
      <w:proofErr w:type="gramEnd"/>
      <w:r w:rsidRPr="00E463BA">
        <w:rPr>
          <w:rFonts w:ascii="Aptos" w:hAnsi="Aptos"/>
          <w:color w:val="333333"/>
          <w:sz w:val="18"/>
          <w:szCs w:val="18"/>
        </w:rPr>
        <w:t xml:space="preserve"> AI systems and describes it as a continuous iterative process throughout the lifecycle of the </w:t>
      </w:r>
      <w:proofErr w:type="gramStart"/>
      <w:r w:rsidRPr="00E463BA">
        <w:rPr>
          <w:rFonts w:ascii="Aptos" w:hAnsi="Aptos"/>
          <w:color w:val="333333"/>
          <w:sz w:val="18"/>
          <w:szCs w:val="18"/>
        </w:rPr>
        <w:t>high risk</w:t>
      </w:r>
      <w:proofErr w:type="gramEnd"/>
      <w:r w:rsidRPr="00E463BA">
        <w:rPr>
          <w:rFonts w:ascii="Aptos" w:hAnsi="Aptos"/>
          <w:color w:val="333333"/>
          <w:sz w:val="18"/>
          <w:szCs w:val="18"/>
        </w:rPr>
        <w:t xml:space="preserve"> AI system. Source: https://artificialintelligenceact.eu/article/9/</w:t>
      </w:r>
    </w:p>
    <w:p w14:paraId="01B39171" w14:textId="77777777" w:rsidR="001D04AF" w:rsidRPr="00E463BA" w:rsidRDefault="003734F3">
      <w:pPr>
        <w:spacing w:after="60" w:line="240" w:lineRule="auto"/>
        <w:rPr>
          <w:rFonts w:ascii="Aptos" w:hAnsi="Aptos"/>
          <w:sz w:val="18"/>
          <w:szCs w:val="18"/>
        </w:rPr>
      </w:pPr>
      <w:r w:rsidRPr="00E463BA">
        <w:rPr>
          <w:rFonts w:ascii="Aptos" w:hAnsi="Aptos"/>
          <w:b/>
          <w:color w:val="D9630B"/>
          <w:sz w:val="18"/>
          <w:szCs w:val="18"/>
        </w:rPr>
        <w:t xml:space="preserve">3. </w:t>
      </w:r>
      <w:r w:rsidRPr="00E463BA">
        <w:rPr>
          <w:rFonts w:ascii="Aptos" w:hAnsi="Aptos"/>
          <w:color w:val="333333"/>
          <w:sz w:val="18"/>
          <w:szCs w:val="18"/>
        </w:rPr>
        <w:t xml:space="preserve">EU AI Act, Article 14. Article 14 addresses human oversight for </w:t>
      </w:r>
      <w:proofErr w:type="gramStart"/>
      <w:r w:rsidRPr="00E463BA">
        <w:rPr>
          <w:rFonts w:ascii="Aptos" w:hAnsi="Aptos"/>
          <w:color w:val="333333"/>
          <w:sz w:val="18"/>
          <w:szCs w:val="18"/>
        </w:rPr>
        <w:t>high risk</w:t>
      </w:r>
      <w:proofErr w:type="gramEnd"/>
      <w:r w:rsidRPr="00E463BA">
        <w:rPr>
          <w:rFonts w:ascii="Aptos" w:hAnsi="Aptos"/>
          <w:color w:val="333333"/>
          <w:sz w:val="18"/>
          <w:szCs w:val="18"/>
        </w:rPr>
        <w:t xml:space="preserve"> AI systems and states that oversight measures should aim to prevent or minimise risks to health, safety, or fundamental rights. Source: https://artificialintelligenceact.eu/article/14/</w:t>
      </w:r>
    </w:p>
    <w:p w14:paraId="60DF518C" w14:textId="77777777" w:rsidR="001D04AF" w:rsidRPr="00E463BA" w:rsidRDefault="003734F3">
      <w:pPr>
        <w:spacing w:after="60" w:line="240" w:lineRule="auto"/>
        <w:rPr>
          <w:rFonts w:ascii="Aptos" w:hAnsi="Aptos"/>
          <w:sz w:val="18"/>
          <w:szCs w:val="18"/>
        </w:rPr>
      </w:pPr>
      <w:r w:rsidRPr="00E463BA">
        <w:rPr>
          <w:rFonts w:ascii="Aptos" w:hAnsi="Aptos"/>
          <w:b/>
          <w:color w:val="D9630B"/>
          <w:sz w:val="18"/>
          <w:szCs w:val="18"/>
        </w:rPr>
        <w:t xml:space="preserve">4. </w:t>
      </w:r>
      <w:r w:rsidRPr="00E463BA">
        <w:rPr>
          <w:rFonts w:ascii="Aptos" w:hAnsi="Aptos"/>
          <w:color w:val="333333"/>
          <w:sz w:val="18"/>
          <w:szCs w:val="18"/>
        </w:rPr>
        <w:t>NIST AI Risk Management Framework. NIST describes AI systems as sociotechnical systems and organizes AI risk management through Govern, Map, Measure, and Manage functions. Source: https://nvlpubs.nist.gov/nistpubs/ai/nist.ai.100-1.pdf</w:t>
      </w:r>
    </w:p>
    <w:p w14:paraId="69E1C8F7" w14:textId="77777777" w:rsidR="00C34D7F" w:rsidRDefault="00C34D7F" w:rsidP="00C34D7F">
      <w:pPr>
        <w:spacing w:after="0" w:line="240" w:lineRule="auto"/>
        <w:rPr>
          <w:rFonts w:ascii="Aptos" w:hAnsi="Aptos"/>
          <w:b/>
          <w:color w:val="FF6A00"/>
          <w:sz w:val="18"/>
          <w:szCs w:val="18"/>
        </w:rPr>
      </w:pPr>
    </w:p>
    <w:p w14:paraId="6DADE022" w14:textId="6975DE65" w:rsidR="00C34D7F" w:rsidRPr="0009179E" w:rsidRDefault="00C34D7F" w:rsidP="00C34D7F">
      <w:pPr>
        <w:spacing w:after="0" w:line="240" w:lineRule="auto"/>
        <w:rPr>
          <w:rFonts w:ascii="Aptos" w:hAnsi="Aptos"/>
          <w:sz w:val="18"/>
          <w:szCs w:val="18"/>
        </w:rPr>
      </w:pPr>
      <w:r w:rsidRPr="0009179E">
        <w:rPr>
          <w:rFonts w:ascii="Aptos" w:hAnsi="Aptos"/>
          <w:b/>
          <w:color w:val="FF6A00"/>
          <w:sz w:val="18"/>
          <w:szCs w:val="18"/>
        </w:rPr>
        <w:t xml:space="preserve">Prepared for: </w:t>
      </w:r>
      <w:r w:rsidRPr="0009179E">
        <w:rPr>
          <w:rFonts w:ascii="Aptos" w:hAnsi="Aptos"/>
          <w:color w:val="090D0F"/>
          <w:sz w:val="18"/>
          <w:szCs w:val="18"/>
        </w:rPr>
        <w:t xml:space="preserve">Kevin Moore, Founder, </w:t>
      </w:r>
      <w:proofErr w:type="spellStart"/>
      <w:r w:rsidRPr="0009179E">
        <w:rPr>
          <w:rFonts w:ascii="Aptos" w:hAnsi="Aptos"/>
          <w:color w:val="090D0F"/>
          <w:sz w:val="18"/>
          <w:szCs w:val="18"/>
        </w:rPr>
        <w:t>Jochanni</w:t>
      </w:r>
      <w:proofErr w:type="spellEnd"/>
      <w:r w:rsidRPr="0009179E">
        <w:rPr>
          <w:rFonts w:ascii="Aptos" w:hAnsi="Aptos"/>
          <w:color w:val="090D0F"/>
          <w:sz w:val="18"/>
          <w:szCs w:val="18"/>
        </w:rPr>
        <w:t xml:space="preserve"> Labs</w:t>
      </w:r>
    </w:p>
    <w:p w14:paraId="427C611A" w14:textId="77777777" w:rsidR="00C34D7F" w:rsidRPr="0009179E" w:rsidRDefault="00C34D7F" w:rsidP="00C34D7F">
      <w:pPr>
        <w:spacing w:after="0" w:line="240" w:lineRule="auto"/>
        <w:rPr>
          <w:rFonts w:ascii="Aptos" w:hAnsi="Aptos"/>
          <w:sz w:val="18"/>
          <w:szCs w:val="18"/>
        </w:rPr>
      </w:pPr>
      <w:r w:rsidRPr="0009179E">
        <w:rPr>
          <w:rFonts w:ascii="Aptos" w:hAnsi="Aptos"/>
          <w:b/>
          <w:color w:val="FF6A00"/>
          <w:sz w:val="18"/>
          <w:szCs w:val="18"/>
        </w:rPr>
        <w:t>Publication series: Decision Governance Strategic Intelligence Series</w:t>
      </w:r>
    </w:p>
    <w:p w14:paraId="72485C39" w14:textId="3DEAA44D" w:rsidR="001D04AF" w:rsidRPr="00E463BA" w:rsidRDefault="001D04AF" w:rsidP="00C34D7F">
      <w:pPr>
        <w:spacing w:after="60"/>
        <w:rPr>
          <w:rFonts w:ascii="Aptos" w:hAnsi="Aptos"/>
          <w:sz w:val="18"/>
          <w:szCs w:val="18"/>
        </w:rPr>
      </w:pPr>
    </w:p>
    <w:sectPr w:rsidR="001D04AF" w:rsidRPr="00E463BA" w:rsidSect="00034616">
      <w:headerReference w:type="default" r:id="rId10"/>
      <w:footerReference w:type="default" r:id="rId11"/>
      <w:pgSz w:w="12240" w:h="15840"/>
      <w:pgMar w:top="504" w:right="648" w:bottom="504" w:left="648" w:header="216" w:footer="2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FA41F" w14:textId="77777777" w:rsidR="003140F4" w:rsidRDefault="003140F4">
      <w:pPr>
        <w:spacing w:after="0" w:line="240" w:lineRule="auto"/>
      </w:pPr>
      <w:r>
        <w:separator/>
      </w:r>
    </w:p>
  </w:endnote>
  <w:endnote w:type="continuationSeparator" w:id="0">
    <w:p w14:paraId="657C549A" w14:textId="77777777" w:rsidR="003140F4" w:rsidRDefault="00314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14D69" w14:textId="77777777" w:rsidR="001D04AF" w:rsidRDefault="003734F3">
    <w:pPr>
      <w:pStyle w:val="Footer"/>
      <w:jc w:val="center"/>
    </w:pPr>
    <w:r>
      <w:rPr>
        <w:color w:val="777777"/>
        <w:sz w:val="15"/>
      </w:rPr>
      <w:t>Why Europe Sharpens The DAL-X Wedge Without Defining The Whole Company.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8AC08" w14:textId="77777777" w:rsidR="003140F4" w:rsidRDefault="003140F4">
      <w:pPr>
        <w:spacing w:after="0" w:line="240" w:lineRule="auto"/>
      </w:pPr>
      <w:r>
        <w:separator/>
      </w:r>
    </w:p>
  </w:footnote>
  <w:footnote w:type="continuationSeparator" w:id="0">
    <w:p w14:paraId="6AF327B0" w14:textId="77777777" w:rsidR="003140F4" w:rsidRDefault="003140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F8380" w14:textId="77777777" w:rsidR="001D04AF" w:rsidRDefault="003734F3">
    <w:pPr>
      <w:pStyle w:val="Header"/>
      <w:jc w:val="right"/>
    </w:pPr>
    <w:proofErr w:type="spellStart"/>
    <w:r>
      <w:rPr>
        <w:b/>
        <w:color w:val="D9630B"/>
        <w:sz w:val="17"/>
      </w:rPr>
      <w:t>Jochanni</w:t>
    </w:r>
    <w:proofErr w:type="spellEnd"/>
    <w:r>
      <w:rPr>
        <w:b/>
        <w:color w:val="D9630B"/>
        <w:sz w:val="17"/>
      </w:rPr>
      <w:t xml:space="preserve"> Labs  |  Decision Governance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94039">
    <w:abstractNumId w:val="8"/>
  </w:num>
  <w:num w:numId="2" w16cid:durableId="577712831">
    <w:abstractNumId w:val="6"/>
  </w:num>
  <w:num w:numId="3" w16cid:durableId="1430585733">
    <w:abstractNumId w:val="5"/>
  </w:num>
  <w:num w:numId="4" w16cid:durableId="338848841">
    <w:abstractNumId w:val="4"/>
  </w:num>
  <w:num w:numId="5" w16cid:durableId="1195003932">
    <w:abstractNumId w:val="7"/>
  </w:num>
  <w:num w:numId="6" w16cid:durableId="852038180">
    <w:abstractNumId w:val="3"/>
  </w:num>
  <w:num w:numId="7" w16cid:durableId="825514187">
    <w:abstractNumId w:val="2"/>
  </w:num>
  <w:num w:numId="8" w16cid:durableId="510678760">
    <w:abstractNumId w:val="1"/>
  </w:num>
  <w:num w:numId="9" w16cid:durableId="363020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085D"/>
    <w:rsid w:val="0012120F"/>
    <w:rsid w:val="0015074B"/>
    <w:rsid w:val="001D04AF"/>
    <w:rsid w:val="0029639D"/>
    <w:rsid w:val="003140F4"/>
    <w:rsid w:val="00326F90"/>
    <w:rsid w:val="003734F3"/>
    <w:rsid w:val="00671311"/>
    <w:rsid w:val="00943EC2"/>
    <w:rsid w:val="00A50791"/>
    <w:rsid w:val="00AA1D8D"/>
    <w:rsid w:val="00AF71E4"/>
    <w:rsid w:val="00B47730"/>
    <w:rsid w:val="00BD5A8A"/>
    <w:rsid w:val="00C34D7F"/>
    <w:rsid w:val="00CB0664"/>
    <w:rsid w:val="00E463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2CC87E"/>
  <w14:defaultImageDpi w14:val="300"/>
  <w15:docId w15:val="{FF60FF36-A327-4FE5-93A8-F69553F54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Arial" w:hAnsi="Arial"/>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Arial" w:hAnsi="Arial"/>
    </w:rPr>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Arial" w:hAnsi="Arial"/>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Arial" w:hAnsi="Arial"/>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Arial" w:hAnsi="Arial"/>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Arial" w:hAnsi="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Arial" w:hAnsi="Arial"/>
      <w:b/>
      <w:bCs/>
    </w:rPr>
  </w:style>
  <w:style w:type="character" w:styleId="Emphasis">
    <w:name w:val="Emphasis"/>
    <w:basedOn w:val="DefaultParagraphFont"/>
    <w:uiPriority w:val="20"/>
    <w:qFormat/>
    <w:rsid w:val="00FC693F"/>
    <w:rPr>
      <w:rFonts w:ascii="Arial" w:hAnsi="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b/>
      <w:bCs/>
      <w:i/>
      <w:iCs/>
      <w:color w:val="4F81BD" w:themeColor="accent1"/>
    </w:rPr>
  </w:style>
  <w:style w:type="character" w:styleId="SubtleEmphasis">
    <w:name w:val="Subtle Emphasis"/>
    <w:basedOn w:val="DefaultParagraphFont"/>
    <w:uiPriority w:val="19"/>
    <w:qFormat/>
    <w:rsid w:val="00FC693F"/>
    <w:rPr>
      <w:rFonts w:ascii="Arial" w:hAnsi="Arial"/>
      <w:i/>
      <w:iCs/>
      <w:color w:val="808080" w:themeColor="text1" w:themeTint="7F"/>
    </w:rPr>
  </w:style>
  <w:style w:type="character" w:styleId="IntenseEmphasis">
    <w:name w:val="Intense Emphasis"/>
    <w:basedOn w:val="DefaultParagraphFont"/>
    <w:uiPriority w:val="21"/>
    <w:qFormat/>
    <w:rsid w:val="00FC693F"/>
    <w:rPr>
      <w:rFonts w:ascii="Arial" w:hAnsi="Arial"/>
      <w:b/>
      <w:bCs/>
      <w:i/>
      <w:iCs/>
      <w:color w:val="4F81BD" w:themeColor="accent1"/>
    </w:rPr>
  </w:style>
  <w:style w:type="character" w:styleId="SubtleReference">
    <w:name w:val="Subtle Reference"/>
    <w:basedOn w:val="DefaultParagraphFont"/>
    <w:uiPriority w:val="31"/>
    <w:qFormat/>
    <w:rsid w:val="00FC693F"/>
    <w:rPr>
      <w:rFonts w:ascii="Arial" w:hAnsi="Arial"/>
      <w:smallCaps/>
      <w:color w:val="C0504D" w:themeColor="accent2"/>
      <w:u w:val="single"/>
    </w:rPr>
  </w:style>
  <w:style w:type="character" w:styleId="IntenseReference">
    <w:name w:val="Intense Reference"/>
    <w:basedOn w:val="DefaultParagraphFont"/>
    <w:uiPriority w:val="32"/>
    <w:qFormat/>
    <w:rsid w:val="00FC693F"/>
    <w:rPr>
      <w:rFonts w:ascii="Arial" w:hAnsi="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1079</Words>
  <Characters>6154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Moore</cp:lastModifiedBy>
  <cp:revision>4</cp:revision>
  <dcterms:created xsi:type="dcterms:W3CDTF">2026-05-11T21:10:00Z</dcterms:created>
  <dcterms:modified xsi:type="dcterms:W3CDTF">2026-05-11T21:44:00Z</dcterms:modified>
  <cp:category/>
</cp:coreProperties>
</file>