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1208" w14:textId="77777777" w:rsidR="00AF4D33" w:rsidRDefault="008E570B">
      <w:pPr>
        <w:jc w:val="center"/>
      </w:pPr>
      <w:r>
        <w:rPr>
          <w:noProof/>
        </w:rPr>
        <w:drawing>
          <wp:inline distT="0" distB="0" distL="0" distR="0" wp14:anchorId="79B710C3" wp14:editId="1D0741B9">
            <wp:extent cx="6887308" cy="147574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5_hero.png"/>
                    <pic:cNvPicPr/>
                  </pic:nvPicPr>
                  <pic:blipFill>
                    <a:blip r:embed="rId8"/>
                    <a:stretch>
                      <a:fillRect/>
                    </a:stretch>
                  </pic:blipFill>
                  <pic:spPr>
                    <a:xfrm>
                      <a:off x="0" y="0"/>
                      <a:ext cx="6888788" cy="1476057"/>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648"/>
        <w:gridCol w:w="3648"/>
        <w:gridCol w:w="3648"/>
      </w:tblGrid>
      <w:tr w:rsidR="00AF4D33" w14:paraId="64E559DD" w14:textId="77777777">
        <w:trPr>
          <w:jc w:val="center"/>
        </w:trPr>
        <w:tc>
          <w:tcPr>
            <w:tcW w:w="3648" w:type="dxa"/>
            <w:tcBorders>
              <w:top w:val="single" w:sz="6" w:space="0" w:color="D9D9D9"/>
              <w:left w:val="single" w:sz="6" w:space="0" w:color="D9D9D9"/>
              <w:bottom w:val="single" w:sz="6" w:space="0" w:color="D9D9D9"/>
              <w:right w:val="single" w:sz="6" w:space="0" w:color="D9D9D9"/>
            </w:tcBorders>
            <w:shd w:val="clear" w:color="auto" w:fill="F7F7F7"/>
            <w:vAlign w:val="center"/>
          </w:tcPr>
          <w:p w14:paraId="504D6F08" w14:textId="77777777" w:rsidR="00AF4D33" w:rsidRDefault="008E570B">
            <w:pPr>
              <w:jc w:val="center"/>
            </w:pPr>
            <w:r>
              <w:rPr>
                <w:b/>
                <w:color w:val="E6691C"/>
                <w:sz w:val="19"/>
              </w:rPr>
              <w:t>ESTIMATED READ TIME</w:t>
            </w:r>
            <w:r>
              <w:rPr>
                <w:b/>
                <w:color w:val="E6691C"/>
                <w:sz w:val="19"/>
              </w:rPr>
              <w:br/>
            </w:r>
            <w:r>
              <w:rPr>
                <w:b/>
                <w:color w:val="141414"/>
                <w:sz w:val="24"/>
              </w:rPr>
              <w:t>4 minutes</w:t>
            </w:r>
          </w:p>
        </w:tc>
        <w:tc>
          <w:tcPr>
            <w:tcW w:w="3648" w:type="dxa"/>
            <w:tcBorders>
              <w:top w:val="single" w:sz="6" w:space="0" w:color="D9D9D9"/>
              <w:left w:val="single" w:sz="6" w:space="0" w:color="D9D9D9"/>
              <w:bottom w:val="single" w:sz="6" w:space="0" w:color="D9D9D9"/>
              <w:right w:val="single" w:sz="6" w:space="0" w:color="D9D9D9"/>
            </w:tcBorders>
            <w:shd w:val="clear" w:color="auto" w:fill="F7F7F7"/>
            <w:vAlign w:val="center"/>
          </w:tcPr>
          <w:p w14:paraId="45A9739A" w14:textId="77777777" w:rsidR="00AF4D33" w:rsidRDefault="008E570B">
            <w:pPr>
              <w:jc w:val="center"/>
            </w:pPr>
            <w:r>
              <w:rPr>
                <w:b/>
                <w:color w:val="E6691C"/>
                <w:sz w:val="19"/>
              </w:rPr>
              <w:t>APPROXIMATE WORD COUNT</w:t>
            </w:r>
            <w:r>
              <w:rPr>
                <w:b/>
                <w:color w:val="E6691C"/>
                <w:sz w:val="19"/>
              </w:rPr>
              <w:br/>
            </w:r>
            <w:r>
              <w:rPr>
                <w:b/>
                <w:color w:val="141414"/>
                <w:sz w:val="24"/>
              </w:rPr>
              <w:t>865 words</w:t>
            </w:r>
          </w:p>
        </w:tc>
        <w:tc>
          <w:tcPr>
            <w:tcW w:w="3648" w:type="dxa"/>
            <w:tcBorders>
              <w:top w:val="single" w:sz="6" w:space="0" w:color="D9D9D9"/>
              <w:left w:val="single" w:sz="6" w:space="0" w:color="D9D9D9"/>
              <w:bottom w:val="single" w:sz="6" w:space="0" w:color="D9D9D9"/>
              <w:right w:val="single" w:sz="6" w:space="0" w:color="D9D9D9"/>
            </w:tcBorders>
            <w:shd w:val="clear" w:color="auto" w:fill="F7F7F7"/>
            <w:vAlign w:val="center"/>
          </w:tcPr>
          <w:p w14:paraId="10C4B1CA" w14:textId="77777777" w:rsidR="00AF4D33" w:rsidRDefault="008E570B">
            <w:pPr>
              <w:jc w:val="center"/>
            </w:pPr>
            <w:r>
              <w:rPr>
                <w:b/>
                <w:color w:val="E6691C"/>
                <w:sz w:val="19"/>
              </w:rPr>
              <w:t>PURPOSE</w:t>
            </w:r>
            <w:r>
              <w:rPr>
                <w:b/>
                <w:color w:val="E6691C"/>
                <w:sz w:val="19"/>
              </w:rPr>
              <w:br/>
            </w:r>
            <w:r>
              <w:rPr>
                <w:b/>
                <w:color w:val="141414"/>
                <w:sz w:val="24"/>
              </w:rPr>
              <w:t>Thought leadership essay</w:t>
            </w:r>
          </w:p>
        </w:tc>
      </w:tr>
    </w:tbl>
    <w:tbl>
      <w:tblPr>
        <w:tblW w:w="0" w:type="auto"/>
        <w:jc w:val="center"/>
        <w:tblLook w:val="04A0" w:firstRow="1" w:lastRow="0" w:firstColumn="1" w:lastColumn="0" w:noHBand="0" w:noVBand="1"/>
      </w:tblPr>
      <w:tblGrid>
        <w:gridCol w:w="10914"/>
      </w:tblGrid>
      <w:tr w:rsidR="00AF4D33" w14:paraId="4100436A" w14:textId="77777777" w:rsidTr="0088667C">
        <w:trPr>
          <w:trHeight w:val="1111"/>
          <w:jc w:val="center"/>
        </w:trPr>
        <w:tc>
          <w:tcPr>
            <w:tcW w:w="10944" w:type="dxa"/>
            <w:tcBorders>
              <w:top w:val="single" w:sz="12" w:space="0" w:color="E6691C"/>
              <w:left w:val="single" w:sz="12" w:space="0" w:color="E6691C"/>
              <w:bottom w:val="single" w:sz="12" w:space="0" w:color="E6691C"/>
              <w:right w:val="single" w:sz="12" w:space="0" w:color="E6691C"/>
            </w:tcBorders>
            <w:shd w:val="clear" w:color="auto" w:fill="101313"/>
          </w:tcPr>
          <w:p w14:paraId="4DB55810" w14:textId="77777777" w:rsidR="00AF4D33" w:rsidRDefault="008E570B" w:rsidP="004C01AB">
            <w:pPr>
              <w:spacing w:after="0" w:line="240" w:lineRule="auto"/>
              <w:jc w:val="center"/>
            </w:pPr>
            <w:r>
              <w:rPr>
                <w:b/>
                <w:color w:val="E6691C"/>
                <w:sz w:val="22"/>
              </w:rPr>
              <w:t>Core position:</w:t>
            </w:r>
            <w:r>
              <w:rPr>
                <w:b/>
                <w:color w:val="E6691C"/>
                <w:sz w:val="22"/>
              </w:rPr>
              <w:br/>
            </w:r>
            <w:r>
              <w:rPr>
                <w:b/>
                <w:color w:val="FFFFFF"/>
                <w:sz w:val="22"/>
              </w:rPr>
              <w:t>The United States does not need an EU AI Act equivalent for Decision Governance to become necessary. US enterprises already carry model risk, supervision, operational risk, customer impact, board accountability, and technology governance pressure that exposes the same authority gap.</w:t>
            </w:r>
          </w:p>
        </w:tc>
      </w:tr>
    </w:tbl>
    <w:p w14:paraId="42271F09" w14:textId="77777777" w:rsidR="00AF4D33" w:rsidRPr="004C01AB" w:rsidRDefault="008E570B">
      <w:pPr>
        <w:spacing w:before="280" w:after="160"/>
        <w:rPr>
          <w:rFonts w:ascii="Georgia" w:hAnsi="Georgia"/>
          <w:sz w:val="44"/>
          <w:szCs w:val="44"/>
        </w:rPr>
      </w:pPr>
      <w:r w:rsidRPr="004C01AB">
        <w:rPr>
          <w:rFonts w:ascii="Georgia" w:hAnsi="Georgia"/>
          <w:b/>
          <w:color w:val="E6691C"/>
          <w:sz w:val="44"/>
          <w:szCs w:val="44"/>
        </w:rPr>
        <w:t>Essay</w:t>
      </w:r>
    </w:p>
    <w:p w14:paraId="71DE7AD4" w14:textId="77777777" w:rsidR="00AF4D33" w:rsidRPr="00A479E0" w:rsidRDefault="008E570B">
      <w:pPr>
        <w:spacing w:after="140" w:line="259" w:lineRule="auto"/>
        <w:rPr>
          <w:rFonts w:ascii="Aptos" w:hAnsi="Aptos"/>
        </w:rPr>
      </w:pPr>
      <w:r w:rsidRPr="00A479E0">
        <w:rPr>
          <w:rFonts w:ascii="Aptos" w:hAnsi="Aptos"/>
          <w:b/>
          <w:sz w:val="22"/>
        </w:rPr>
        <w:t>The United States wedge does not depend on EU AI Act pressure. Europe creates a clear forcing function, and the prior newsletter treated that pressure with discipline. The United States still has its own route into the same control problem because enterprise AI exposure is already moving through supervision, model risk, operational risk, technology governance, customer impact, and board accountability.</w:t>
      </w:r>
    </w:p>
    <w:p w14:paraId="7F1AF9B1" w14:textId="77777777" w:rsidR="00AF4D33" w:rsidRPr="00A479E0" w:rsidRDefault="008E570B">
      <w:pPr>
        <w:spacing w:after="140" w:line="259" w:lineRule="auto"/>
        <w:rPr>
          <w:rFonts w:ascii="Aptos" w:hAnsi="Aptos"/>
        </w:rPr>
      </w:pPr>
      <w:r w:rsidRPr="00A479E0">
        <w:rPr>
          <w:rFonts w:ascii="Aptos" w:hAnsi="Aptos"/>
          <w:sz w:val="22"/>
        </w:rPr>
        <w:t>The mistake would be treating the US market as if it must wait for one comprehensive AI statute before Decision Governance becomes commercially relevant. US enterprises already operate through sector based obligations, supervisory expectations, internal controls, risk committees, model governance, legal review, and customer outcome controls. AI does not have to be regulated through one statute to create enterprise consequence. It only has to influence work that the institution is already required to govern.</w:t>
      </w:r>
    </w:p>
    <w:p w14:paraId="48EA040B" w14:textId="77777777" w:rsidR="00AF4D33" w:rsidRPr="00A479E0" w:rsidRDefault="008E570B">
      <w:pPr>
        <w:spacing w:after="140" w:line="259" w:lineRule="auto"/>
        <w:rPr>
          <w:rFonts w:ascii="Aptos" w:hAnsi="Aptos"/>
        </w:rPr>
      </w:pPr>
      <w:r w:rsidRPr="00A479E0">
        <w:rPr>
          <w:rFonts w:ascii="Aptos" w:hAnsi="Aptos"/>
          <w:sz w:val="22"/>
        </w:rPr>
        <w:t>NIST’s AI Risk Management Framework supports this broader control view by organizing AI risk management through govern, map, measure, and manage functions. The framework is not an EU instrument, and it does not depend on an EU style regulatory model. It gives US institutions a recognized language for managing AI risk across context, governance, measurement, and response. The opening for Decision Governance is not the framework itself. The opening is what happens when AI influenced work moves beyond risk documentation and enters business action.1</w:t>
      </w:r>
    </w:p>
    <w:p w14:paraId="54AA06DE" w14:textId="77777777" w:rsidR="00AF4D33" w:rsidRPr="00A479E0" w:rsidRDefault="008E570B">
      <w:pPr>
        <w:spacing w:after="140" w:line="259" w:lineRule="auto"/>
        <w:rPr>
          <w:rFonts w:ascii="Aptos" w:hAnsi="Aptos"/>
        </w:rPr>
      </w:pPr>
      <w:r w:rsidRPr="00A479E0">
        <w:rPr>
          <w:rFonts w:ascii="Aptos" w:hAnsi="Aptos"/>
          <w:sz w:val="22"/>
        </w:rPr>
        <w:t>US financial institutions also carry an existing control vocabulary around models, supervision, governance, and business use. The Federal Reserve’s revised model risk management guidance emphasizes sound principles for effective model risk management and recognizes that practices should be tailored to the banking organization’s risk profile, size, complexity, and model usage. This guidance reinforces a larger point: US enterprises are already expected to manage technology driven decision risk through governance and control mechanisms before AI becomes a separate category conversation.2</w:t>
      </w:r>
    </w:p>
    <w:p w14:paraId="19D64991" w14:textId="77777777" w:rsidR="00AF4D33" w:rsidRPr="00A479E0" w:rsidRDefault="008E570B">
      <w:pPr>
        <w:spacing w:after="140" w:line="259" w:lineRule="auto"/>
        <w:rPr>
          <w:rFonts w:ascii="Aptos" w:hAnsi="Aptos"/>
        </w:rPr>
      </w:pPr>
      <w:r w:rsidRPr="00A479E0">
        <w:rPr>
          <w:rFonts w:ascii="Aptos" w:hAnsi="Aptos"/>
          <w:sz w:val="22"/>
        </w:rPr>
        <w:t>The same logic appears in the securities industry. FINRA has reminded member firms that existing rules and guidance apply when firms use generative AI or similar technologies in the course of business, just as they apply when firms use other technologies or tools. FINRA also points to supervisory systems under Rule 3110, which means AI use inside broker dealer workflows cannot be treated as an ungoverned productivity layer.3</w:t>
      </w:r>
    </w:p>
    <w:p w14:paraId="75B52BB8" w14:textId="77777777" w:rsidR="0088667C" w:rsidRPr="00A479E0" w:rsidRDefault="008E570B">
      <w:pPr>
        <w:spacing w:after="140" w:line="259" w:lineRule="auto"/>
        <w:rPr>
          <w:rFonts w:ascii="Aptos" w:hAnsi="Aptos"/>
          <w:sz w:val="22"/>
        </w:rPr>
      </w:pPr>
      <w:r w:rsidRPr="00A479E0">
        <w:rPr>
          <w:rFonts w:ascii="Aptos" w:hAnsi="Aptos"/>
          <w:sz w:val="22"/>
        </w:rPr>
        <w:lastRenderedPageBreak/>
        <w:t xml:space="preserve">A US broker dealer may not be asking for EU AI Act readiness. It may be asking whether an AI generated client communication, surveillance summary, trade exception note, research draft, suitability related analysis, or </w:t>
      </w:r>
    </w:p>
    <w:p w14:paraId="4CD10E20" w14:textId="6E816965" w:rsidR="00AF4D33" w:rsidRPr="00A479E0" w:rsidRDefault="008E570B">
      <w:pPr>
        <w:spacing w:after="140" w:line="259" w:lineRule="auto"/>
        <w:rPr>
          <w:rFonts w:ascii="Aptos" w:hAnsi="Aptos"/>
        </w:rPr>
      </w:pPr>
      <w:r w:rsidRPr="00A479E0">
        <w:rPr>
          <w:rFonts w:ascii="Aptos" w:hAnsi="Aptos"/>
          <w:sz w:val="22"/>
        </w:rPr>
        <w:t>supervisory escalation record was handled under the right control path. The language is different from Europe, but the authority problem remains the same: what did AI influence, who had authority over the consequence, which review condition applied, and what record proves the action was permitted before the firm moved?</w:t>
      </w:r>
    </w:p>
    <w:tbl>
      <w:tblPr>
        <w:tblW w:w="0" w:type="auto"/>
        <w:jc w:val="center"/>
        <w:tblLook w:val="04A0" w:firstRow="1" w:lastRow="0" w:firstColumn="1" w:lastColumn="0" w:noHBand="0" w:noVBand="1"/>
      </w:tblPr>
      <w:tblGrid>
        <w:gridCol w:w="1684"/>
        <w:gridCol w:w="9240"/>
      </w:tblGrid>
      <w:tr w:rsidR="00AF4D33" w14:paraId="74AE3C5B" w14:textId="77777777" w:rsidTr="0088667C">
        <w:trPr>
          <w:jc w:val="center"/>
        </w:trPr>
        <w:tc>
          <w:tcPr>
            <w:tcW w:w="1620" w:type="dxa"/>
            <w:tcBorders>
              <w:top w:val="single" w:sz="8" w:space="0" w:color="E6691C"/>
              <w:left w:val="single" w:sz="8" w:space="0" w:color="E6691C"/>
              <w:bottom w:val="single" w:sz="8" w:space="0" w:color="E6691C"/>
              <w:right w:val="single" w:sz="8" w:space="0" w:color="E6691C"/>
            </w:tcBorders>
            <w:shd w:val="clear" w:color="auto" w:fill="0D1010"/>
            <w:vAlign w:val="center"/>
          </w:tcPr>
          <w:p w14:paraId="0B17C249" w14:textId="77777777" w:rsidR="00AF4D33" w:rsidRDefault="008E570B" w:rsidP="0088667C">
            <w:r>
              <w:rPr>
                <w:noProof/>
              </w:rPr>
              <w:drawing>
                <wp:inline distT="0" distB="0" distL="0" distR="0" wp14:anchorId="64A90547" wp14:editId="433C58AC">
                  <wp:extent cx="932688" cy="932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 logo(6).jpg"/>
                          <pic:cNvPicPr/>
                        </pic:nvPicPr>
                        <pic:blipFill>
                          <a:blip r:embed="rId9"/>
                          <a:stretch>
                            <a:fillRect/>
                          </a:stretch>
                        </pic:blipFill>
                        <pic:spPr>
                          <a:xfrm>
                            <a:off x="0" y="0"/>
                            <a:ext cx="932688" cy="932688"/>
                          </a:xfrm>
                          <a:prstGeom prst="rect">
                            <a:avLst/>
                          </a:prstGeom>
                        </pic:spPr>
                      </pic:pic>
                    </a:graphicData>
                  </a:graphic>
                </wp:inline>
              </w:drawing>
            </w:r>
          </w:p>
        </w:tc>
        <w:tc>
          <w:tcPr>
            <w:tcW w:w="9324" w:type="dxa"/>
            <w:tcBorders>
              <w:top w:val="single" w:sz="8" w:space="0" w:color="E6691C"/>
              <w:left w:val="single" w:sz="8" w:space="0" w:color="E6691C"/>
              <w:bottom w:val="single" w:sz="8" w:space="0" w:color="E6691C"/>
              <w:right w:val="single" w:sz="8" w:space="0" w:color="E6691C"/>
            </w:tcBorders>
            <w:shd w:val="clear" w:color="auto" w:fill="F8F4EF"/>
            <w:vAlign w:val="center"/>
          </w:tcPr>
          <w:p w14:paraId="29852A23" w14:textId="77777777" w:rsidR="00AF4D33" w:rsidRDefault="008E570B" w:rsidP="0088667C">
            <w:pPr>
              <w:spacing w:after="0" w:line="240" w:lineRule="auto"/>
              <w:jc w:val="center"/>
            </w:pPr>
            <w:r>
              <w:rPr>
                <w:b/>
                <w:color w:val="E6691C"/>
                <w:sz w:val="22"/>
              </w:rPr>
              <w:t>MICRO EXAMPLE:</w:t>
            </w:r>
            <w:r>
              <w:rPr>
                <w:b/>
                <w:color w:val="E6691C"/>
                <w:sz w:val="22"/>
              </w:rPr>
              <w:br/>
            </w:r>
            <w:r>
              <w:rPr>
                <w:b/>
                <w:color w:val="191919"/>
                <w:sz w:val="21"/>
              </w:rPr>
              <w:t>A US bank may never cite the EU AI Act, yet still face a control failure if an AI generated lending summary changes the approval path without named authority, review conditions, and evidence before action.</w:t>
            </w:r>
          </w:p>
        </w:tc>
      </w:tr>
    </w:tbl>
    <w:p w14:paraId="0F1841F3" w14:textId="77777777" w:rsidR="0088667C" w:rsidRDefault="0088667C">
      <w:pPr>
        <w:spacing w:after="140" w:line="259" w:lineRule="auto"/>
        <w:rPr>
          <w:sz w:val="22"/>
        </w:rPr>
      </w:pPr>
    </w:p>
    <w:p w14:paraId="5B4E5F60" w14:textId="03D14A33" w:rsidR="00AF4D33" w:rsidRPr="00A479E0" w:rsidRDefault="008E570B">
      <w:pPr>
        <w:spacing w:after="140" w:line="259" w:lineRule="auto"/>
        <w:rPr>
          <w:rFonts w:ascii="Aptos" w:hAnsi="Aptos"/>
        </w:rPr>
      </w:pPr>
      <w:r w:rsidRPr="00A479E0">
        <w:rPr>
          <w:rFonts w:ascii="Aptos" w:hAnsi="Aptos"/>
          <w:sz w:val="22"/>
        </w:rPr>
        <w:t>The United States wedge is strongest when it speaks in the language US institutions already use. Model risk. Supervision. Operational risk. Technology governance. Customer harm. Board reporting. Legal defensibility. Audit evidence. AI becomes urgent in the United States when it starts changing decisions inside those existing control environments.</w:t>
      </w:r>
    </w:p>
    <w:p w14:paraId="68ADCA80" w14:textId="77777777" w:rsidR="00AF4D33" w:rsidRPr="00A479E0" w:rsidRDefault="008E570B">
      <w:pPr>
        <w:spacing w:after="140" w:line="259" w:lineRule="auto"/>
        <w:rPr>
          <w:rFonts w:ascii="Aptos" w:hAnsi="Aptos"/>
        </w:rPr>
      </w:pPr>
      <w:r w:rsidRPr="00A479E0">
        <w:rPr>
          <w:rFonts w:ascii="Aptos" w:hAnsi="Aptos"/>
          <w:sz w:val="22"/>
        </w:rPr>
        <w:t>This is why the US wedge should not sound like a weaker version of the Europe wedge. Europe can create statutory urgency. The United States creates institutional urgency through fragmented but powerful control pressure. Banks, insurers, broker dealers, healthcare organizations, public agencies, law firms, and enterprise platforms may enter the conversation through different gates, but each gate leads to the same unresolved question: can the institution prove the AI influenced decision path was authorized before consequence was created?</w:t>
      </w:r>
    </w:p>
    <w:p w14:paraId="6E3E8E87" w14:textId="77777777" w:rsidR="00AF4D33" w:rsidRPr="00A479E0" w:rsidRDefault="008E570B">
      <w:pPr>
        <w:spacing w:after="140" w:line="259" w:lineRule="auto"/>
        <w:rPr>
          <w:rFonts w:ascii="Aptos" w:hAnsi="Aptos"/>
        </w:rPr>
      </w:pPr>
      <w:r w:rsidRPr="00A479E0">
        <w:rPr>
          <w:rFonts w:ascii="Aptos" w:hAnsi="Aptos"/>
          <w:sz w:val="22"/>
        </w:rPr>
        <w:t>Decision Governance gives Jochanni Labs a way to name the shared problem without waiting for the United States to copy Europe. It separates the enterprise category from any single jurisdiction. Model governance may ask whether a system is developed, validated, monitored, and controlled. AI governance may ask whether policies, owners, and risk classifications exist. Decision Governance asks whether AI participation changed the decision path, whether authority adapted to the change, and whether evidence was captured before execution.</w:t>
      </w:r>
    </w:p>
    <w:p w14:paraId="70EEBECF" w14:textId="77777777" w:rsidR="00AF4D33" w:rsidRPr="00A479E0" w:rsidRDefault="008E570B">
      <w:pPr>
        <w:spacing w:after="140" w:line="259" w:lineRule="auto"/>
        <w:rPr>
          <w:rFonts w:ascii="Aptos" w:hAnsi="Aptos"/>
        </w:rPr>
      </w:pPr>
      <w:r w:rsidRPr="00A479E0">
        <w:rPr>
          <w:rFonts w:ascii="Aptos" w:hAnsi="Aptos"/>
          <w:sz w:val="22"/>
        </w:rPr>
        <w:t>The United States wedge also protects the company from becoming overdependent on a regional compliance event. A category cannot be anchored only to one law. A real category has to survive across jurisdictions, sectors, budgets, and operating models. The US market helps prove that Decision Governance is not merely a compliance response. It is a business control category for AI influenced work.</w:t>
      </w:r>
    </w:p>
    <w:p w14:paraId="121B0F73" w14:textId="77777777" w:rsidR="00AF4D33" w:rsidRPr="00A479E0" w:rsidRDefault="008E570B">
      <w:pPr>
        <w:spacing w:after="140" w:line="259" w:lineRule="auto"/>
        <w:rPr>
          <w:rFonts w:ascii="Aptos" w:hAnsi="Aptos"/>
        </w:rPr>
      </w:pPr>
      <w:r w:rsidRPr="00A479E0">
        <w:rPr>
          <w:rFonts w:ascii="Aptos" w:hAnsi="Aptos"/>
          <w:sz w:val="22"/>
        </w:rPr>
        <w:t>The practical buyer path in the United States may begin with AI policy enforcement, model risk modernization, third party AI review, workflow risk, customer communication controls, supervisory review, or operational resilience. Those buying motions are not identical, yet they can all expose a missing layer between AI output and enterprise action. The product entry point can vary. The category claim should not.</w:t>
      </w:r>
    </w:p>
    <w:p w14:paraId="332C792F" w14:textId="77777777" w:rsidR="00AF4D33" w:rsidRPr="00A479E0" w:rsidRDefault="008E570B">
      <w:pPr>
        <w:spacing w:after="140" w:line="259" w:lineRule="auto"/>
        <w:rPr>
          <w:rFonts w:ascii="Aptos" w:hAnsi="Aptos"/>
        </w:rPr>
      </w:pPr>
      <w:r w:rsidRPr="00A479E0">
        <w:rPr>
          <w:rFonts w:ascii="Aptos" w:hAnsi="Aptos"/>
          <w:sz w:val="22"/>
        </w:rPr>
        <w:t>DAL-X should remain positioned as the product expression of the Decision Authority Layer inside the larger Decision Governance architecture. Europe sharpens urgency. The United States proves durability. A company that can explain both is not trapped inside regional compliance language. It can make the broader case that enterprises need authority over AI influenced decisions wherever business consequence moves.</w:t>
      </w:r>
    </w:p>
    <w:p w14:paraId="4C31C1B6" w14:textId="77777777" w:rsidR="00AF4D33" w:rsidRPr="00A479E0" w:rsidRDefault="008E570B">
      <w:pPr>
        <w:spacing w:after="140" w:line="259" w:lineRule="auto"/>
        <w:rPr>
          <w:rFonts w:ascii="Aptos" w:hAnsi="Aptos"/>
        </w:rPr>
      </w:pPr>
      <w:r w:rsidRPr="00A479E0">
        <w:rPr>
          <w:rFonts w:ascii="Aptos" w:hAnsi="Aptos"/>
          <w:sz w:val="22"/>
        </w:rPr>
        <w:t>The next category move is not to wait for US law to look like European law. It is to use existing US control pressure as proof that Decision Governance already has a domestic wedge. The United States does not need one AI Act for the authority problem to become real. It already has enough control pressure to expose the gap.</w:t>
      </w:r>
    </w:p>
    <w:tbl>
      <w:tblPr>
        <w:tblW w:w="0" w:type="auto"/>
        <w:jc w:val="center"/>
        <w:tblLook w:val="04A0" w:firstRow="1" w:lastRow="0" w:firstColumn="1" w:lastColumn="0" w:noHBand="0" w:noVBand="1"/>
      </w:tblPr>
      <w:tblGrid>
        <w:gridCol w:w="1684"/>
        <w:gridCol w:w="9240"/>
      </w:tblGrid>
      <w:tr w:rsidR="00AF4D33" w14:paraId="2FFA1BAE" w14:textId="77777777" w:rsidTr="0088667C">
        <w:trPr>
          <w:jc w:val="center"/>
        </w:trPr>
        <w:tc>
          <w:tcPr>
            <w:tcW w:w="1620" w:type="dxa"/>
            <w:tcBorders>
              <w:top w:val="single" w:sz="8" w:space="0" w:color="E6691C"/>
              <w:left w:val="single" w:sz="8" w:space="0" w:color="E6691C"/>
              <w:bottom w:val="single" w:sz="8" w:space="0" w:color="E6691C"/>
              <w:right w:val="single" w:sz="8" w:space="0" w:color="E6691C"/>
            </w:tcBorders>
            <w:shd w:val="clear" w:color="auto" w:fill="0D1010"/>
            <w:vAlign w:val="center"/>
          </w:tcPr>
          <w:p w14:paraId="2BE14174" w14:textId="77777777" w:rsidR="00AF4D33" w:rsidRDefault="008E570B" w:rsidP="0088667C">
            <w:r>
              <w:rPr>
                <w:noProof/>
              </w:rPr>
              <w:lastRenderedPageBreak/>
              <w:drawing>
                <wp:inline distT="0" distB="0" distL="0" distR="0" wp14:anchorId="7D229D31" wp14:editId="33F5516B">
                  <wp:extent cx="932688" cy="932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 logo(6).jpg"/>
                          <pic:cNvPicPr/>
                        </pic:nvPicPr>
                        <pic:blipFill>
                          <a:blip r:embed="rId9"/>
                          <a:stretch>
                            <a:fillRect/>
                          </a:stretch>
                        </pic:blipFill>
                        <pic:spPr>
                          <a:xfrm>
                            <a:off x="0" y="0"/>
                            <a:ext cx="932688" cy="932688"/>
                          </a:xfrm>
                          <a:prstGeom prst="rect">
                            <a:avLst/>
                          </a:prstGeom>
                        </pic:spPr>
                      </pic:pic>
                    </a:graphicData>
                  </a:graphic>
                </wp:inline>
              </w:drawing>
            </w:r>
          </w:p>
        </w:tc>
        <w:tc>
          <w:tcPr>
            <w:tcW w:w="9324" w:type="dxa"/>
            <w:tcBorders>
              <w:top w:val="single" w:sz="8" w:space="0" w:color="E6691C"/>
              <w:left w:val="single" w:sz="8" w:space="0" w:color="E6691C"/>
              <w:bottom w:val="single" w:sz="8" w:space="0" w:color="E6691C"/>
              <w:right w:val="single" w:sz="8" w:space="0" w:color="E6691C"/>
            </w:tcBorders>
            <w:shd w:val="clear" w:color="auto" w:fill="F8F4EF"/>
            <w:vAlign w:val="center"/>
          </w:tcPr>
          <w:p w14:paraId="7B98CCEA" w14:textId="77777777" w:rsidR="00AF4D33" w:rsidRDefault="008E570B">
            <w:pPr>
              <w:jc w:val="center"/>
            </w:pPr>
            <w:r>
              <w:rPr>
                <w:b/>
                <w:color w:val="E6691C"/>
                <w:sz w:val="22"/>
              </w:rPr>
              <w:t>CATEGORY CLAIM:</w:t>
            </w:r>
            <w:r>
              <w:rPr>
                <w:b/>
                <w:color w:val="E6691C"/>
                <w:sz w:val="22"/>
              </w:rPr>
              <w:br/>
            </w:r>
            <w:r>
              <w:rPr>
                <w:b/>
                <w:color w:val="191919"/>
                <w:sz w:val="21"/>
              </w:rPr>
              <w:t>The US wedge proves that Decision Governance is not dependent on European regulation. The authority gap exists wherever AI influenced work enters controlled enterprise action.</w:t>
            </w:r>
          </w:p>
        </w:tc>
      </w:tr>
    </w:tbl>
    <w:p w14:paraId="2904A0A1" w14:textId="77777777" w:rsidR="00AF4D33" w:rsidRPr="00C23E28" w:rsidRDefault="008E570B">
      <w:pPr>
        <w:spacing w:before="240" w:after="120"/>
        <w:rPr>
          <w:rFonts w:ascii="Georgia" w:hAnsi="Georgia"/>
          <w:sz w:val="44"/>
          <w:szCs w:val="44"/>
        </w:rPr>
      </w:pPr>
      <w:r w:rsidRPr="00C23E28">
        <w:rPr>
          <w:rFonts w:ascii="Georgia" w:hAnsi="Georgia"/>
          <w:b/>
          <w:color w:val="E6691C"/>
          <w:sz w:val="44"/>
          <w:szCs w:val="44"/>
        </w:rPr>
        <w:t>Source Notes</w:t>
      </w:r>
    </w:p>
    <w:p w14:paraId="3192FFBB" w14:textId="77777777" w:rsidR="00AF4D33" w:rsidRPr="00A479E0" w:rsidRDefault="008E570B" w:rsidP="00C23E28">
      <w:pPr>
        <w:spacing w:after="0" w:line="240" w:lineRule="auto"/>
        <w:rPr>
          <w:rFonts w:ascii="Aptos" w:hAnsi="Aptos"/>
          <w:sz w:val="18"/>
          <w:szCs w:val="18"/>
        </w:rPr>
      </w:pPr>
      <w:r w:rsidRPr="00A479E0">
        <w:rPr>
          <w:rFonts w:ascii="Aptos" w:hAnsi="Aptos"/>
          <w:b/>
          <w:color w:val="E6691C"/>
          <w:sz w:val="18"/>
          <w:szCs w:val="18"/>
        </w:rPr>
        <w:t xml:space="preserve">1. </w:t>
      </w:r>
      <w:r w:rsidRPr="00A479E0">
        <w:rPr>
          <w:rFonts w:ascii="Aptos" w:hAnsi="Aptos"/>
          <w:sz w:val="18"/>
          <w:szCs w:val="18"/>
        </w:rPr>
        <w:t>NIST AI Risk Management Framework. The AI RMF Core is composed of four high level functions: Govern, Map, Measure, and Manage. Source: https://airc.nist.gov/airmf-resources/airmf/5-sec-core/</w:t>
      </w:r>
    </w:p>
    <w:p w14:paraId="6E5E4A0F" w14:textId="77777777" w:rsidR="00C23E28" w:rsidRDefault="00C23E28" w:rsidP="00C23E28">
      <w:pPr>
        <w:spacing w:after="0" w:line="240" w:lineRule="auto"/>
        <w:rPr>
          <w:rFonts w:ascii="Aptos" w:hAnsi="Aptos"/>
          <w:b/>
          <w:color w:val="E6691C"/>
          <w:sz w:val="18"/>
          <w:szCs w:val="18"/>
        </w:rPr>
      </w:pPr>
    </w:p>
    <w:p w14:paraId="6F696818" w14:textId="06330548" w:rsidR="00AF4D33" w:rsidRPr="00A479E0" w:rsidRDefault="008E570B" w:rsidP="00C23E28">
      <w:pPr>
        <w:spacing w:after="0" w:line="240" w:lineRule="auto"/>
        <w:rPr>
          <w:rFonts w:ascii="Aptos" w:hAnsi="Aptos"/>
          <w:sz w:val="18"/>
          <w:szCs w:val="18"/>
        </w:rPr>
      </w:pPr>
      <w:r w:rsidRPr="00A479E0">
        <w:rPr>
          <w:rFonts w:ascii="Aptos" w:hAnsi="Aptos"/>
          <w:b/>
          <w:color w:val="E6691C"/>
          <w:sz w:val="18"/>
          <w:szCs w:val="18"/>
        </w:rPr>
        <w:t xml:space="preserve">2. </w:t>
      </w:r>
      <w:r w:rsidRPr="00A479E0">
        <w:rPr>
          <w:rFonts w:ascii="Aptos" w:hAnsi="Aptos"/>
          <w:sz w:val="18"/>
          <w:szCs w:val="18"/>
        </w:rPr>
        <w:t xml:space="preserve">Federal Reserve, Revised Guidance on Model Risk Management. The guidance highlights sound principles for effective model risk management and a </w:t>
      </w:r>
      <w:proofErr w:type="gramStart"/>
      <w:r w:rsidRPr="00A479E0">
        <w:rPr>
          <w:rFonts w:ascii="Aptos" w:hAnsi="Aptos"/>
          <w:sz w:val="18"/>
          <w:szCs w:val="18"/>
        </w:rPr>
        <w:t>risk based</w:t>
      </w:r>
      <w:proofErr w:type="gramEnd"/>
      <w:r w:rsidRPr="00A479E0">
        <w:rPr>
          <w:rFonts w:ascii="Aptos" w:hAnsi="Aptos"/>
          <w:sz w:val="18"/>
          <w:szCs w:val="18"/>
        </w:rPr>
        <w:t xml:space="preserve"> approach tailored to banking organizations’ model risk profile, size, complexity, and model usage. Source: https://www.federalreserve.gov/supervisionreg/srletters/SR2602.pdf</w:t>
      </w:r>
    </w:p>
    <w:p w14:paraId="2C04A8D1" w14:textId="77777777" w:rsidR="00C23E28" w:rsidRDefault="00C23E28" w:rsidP="00C23E28">
      <w:pPr>
        <w:spacing w:after="0" w:line="240" w:lineRule="auto"/>
        <w:rPr>
          <w:rFonts w:ascii="Aptos" w:hAnsi="Aptos"/>
          <w:b/>
          <w:color w:val="E6691C"/>
          <w:sz w:val="18"/>
          <w:szCs w:val="18"/>
        </w:rPr>
      </w:pPr>
    </w:p>
    <w:p w14:paraId="39CB65A4" w14:textId="324C166A" w:rsidR="00AF4D33" w:rsidRPr="00A479E0" w:rsidRDefault="008E570B" w:rsidP="00C23E28">
      <w:pPr>
        <w:spacing w:after="0" w:line="240" w:lineRule="auto"/>
        <w:rPr>
          <w:rFonts w:ascii="Aptos" w:hAnsi="Aptos"/>
          <w:sz w:val="18"/>
          <w:szCs w:val="18"/>
        </w:rPr>
      </w:pPr>
      <w:r w:rsidRPr="00A479E0">
        <w:rPr>
          <w:rFonts w:ascii="Aptos" w:hAnsi="Aptos"/>
          <w:b/>
          <w:color w:val="E6691C"/>
          <w:sz w:val="18"/>
          <w:szCs w:val="18"/>
        </w:rPr>
        <w:t xml:space="preserve">3. </w:t>
      </w:r>
      <w:r w:rsidRPr="00A479E0">
        <w:rPr>
          <w:rFonts w:ascii="Aptos" w:hAnsi="Aptos"/>
          <w:sz w:val="18"/>
          <w:szCs w:val="18"/>
        </w:rPr>
        <w:t>FINRA Regulatory Notice 24-09. FINRA reminds member firms that its rules and guidance apply when firms use AI, including generative AI, in the course of business, just as they apply when firms use other technologies or tools. Source: https://www.finra.org/rules-guidance/notices/24-09</w:t>
      </w:r>
    </w:p>
    <w:p w14:paraId="5C28C756" w14:textId="77777777" w:rsidR="00C23E28" w:rsidRDefault="00C23E28" w:rsidP="00C23E28">
      <w:pPr>
        <w:spacing w:after="0" w:line="240" w:lineRule="auto"/>
        <w:rPr>
          <w:rFonts w:ascii="Aptos" w:hAnsi="Aptos"/>
          <w:b/>
          <w:color w:val="FF6A00"/>
          <w:sz w:val="18"/>
          <w:szCs w:val="18"/>
        </w:rPr>
      </w:pPr>
    </w:p>
    <w:p w14:paraId="3451D545" w14:textId="49CD1844" w:rsidR="00C23E28" w:rsidRPr="0009179E" w:rsidRDefault="00C23E28" w:rsidP="00C23E28">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 xml:space="preserve">Kevin Moore, Founder, </w:t>
      </w:r>
      <w:proofErr w:type="spellStart"/>
      <w:r w:rsidRPr="0009179E">
        <w:rPr>
          <w:rFonts w:ascii="Aptos" w:hAnsi="Aptos"/>
          <w:color w:val="090D0F"/>
          <w:sz w:val="18"/>
          <w:szCs w:val="18"/>
        </w:rPr>
        <w:t>Jochanni</w:t>
      </w:r>
      <w:proofErr w:type="spellEnd"/>
      <w:r w:rsidRPr="0009179E">
        <w:rPr>
          <w:rFonts w:ascii="Aptos" w:hAnsi="Aptos"/>
          <w:color w:val="090D0F"/>
          <w:sz w:val="18"/>
          <w:szCs w:val="18"/>
        </w:rPr>
        <w:t xml:space="preserve"> Labs</w:t>
      </w:r>
    </w:p>
    <w:p w14:paraId="426F84A5" w14:textId="77777777" w:rsidR="00C23E28" w:rsidRPr="0009179E" w:rsidRDefault="00C23E28" w:rsidP="00C23E28">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p w14:paraId="4B072768" w14:textId="0A9C96CC" w:rsidR="00AF4D33" w:rsidRPr="00A479E0" w:rsidRDefault="00AF4D33" w:rsidP="00C23E28">
      <w:pPr>
        <w:spacing w:before="160"/>
        <w:rPr>
          <w:rFonts w:ascii="Aptos" w:hAnsi="Aptos"/>
          <w:sz w:val="18"/>
          <w:szCs w:val="18"/>
        </w:rPr>
      </w:pPr>
    </w:p>
    <w:sectPr w:rsidR="00AF4D33" w:rsidRPr="00A479E0" w:rsidSect="00034616">
      <w:headerReference w:type="default" r:id="rId10"/>
      <w:footerReference w:type="default" r:id="rId11"/>
      <w:pgSz w:w="12240" w:h="15840"/>
      <w:pgMar w:top="461" w:right="648" w:bottom="461"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A85B4" w14:textId="77777777" w:rsidR="000D33D8" w:rsidRDefault="000D33D8">
      <w:pPr>
        <w:spacing w:after="0" w:line="240" w:lineRule="auto"/>
      </w:pPr>
      <w:r>
        <w:separator/>
      </w:r>
    </w:p>
  </w:endnote>
  <w:endnote w:type="continuationSeparator" w:id="0">
    <w:p w14:paraId="26295480" w14:textId="77777777" w:rsidR="000D33D8" w:rsidRDefault="000D3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29D1" w14:textId="77777777" w:rsidR="00AF4D33" w:rsidRDefault="008E570B">
    <w:pPr>
      <w:pStyle w:val="Footer"/>
      <w:jc w:val="center"/>
    </w:pPr>
    <w:r>
      <w:rPr>
        <w:color w:val="787878"/>
        <w:sz w:val="16"/>
      </w:rPr>
      <w:t>Why The US Wedge Still Stands Even Without EU AI Act Pressure.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122A" w14:textId="77777777" w:rsidR="000D33D8" w:rsidRDefault="000D33D8">
      <w:pPr>
        <w:spacing w:after="0" w:line="240" w:lineRule="auto"/>
      </w:pPr>
      <w:r>
        <w:separator/>
      </w:r>
    </w:p>
  </w:footnote>
  <w:footnote w:type="continuationSeparator" w:id="0">
    <w:p w14:paraId="24BCA85B" w14:textId="77777777" w:rsidR="000D33D8" w:rsidRDefault="000D3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8285" w14:textId="77777777" w:rsidR="00AF4D33" w:rsidRDefault="008E570B">
    <w:pPr>
      <w:pStyle w:val="Header"/>
      <w:jc w:val="right"/>
    </w:pPr>
    <w:proofErr w:type="spellStart"/>
    <w:r>
      <w:rPr>
        <w:b/>
        <w:color w:val="E6691C"/>
        <w:sz w:val="17"/>
      </w:rPr>
      <w:t>Jochanni</w:t>
    </w:r>
    <w:proofErr w:type="spellEnd"/>
    <w:r>
      <w:rPr>
        <w:b/>
        <w:color w:val="E6691C"/>
        <w:sz w:val="17"/>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930244">
    <w:abstractNumId w:val="8"/>
  </w:num>
  <w:num w:numId="2" w16cid:durableId="1613517746">
    <w:abstractNumId w:val="6"/>
  </w:num>
  <w:num w:numId="3" w16cid:durableId="1620527280">
    <w:abstractNumId w:val="5"/>
  </w:num>
  <w:num w:numId="4" w16cid:durableId="990795119">
    <w:abstractNumId w:val="4"/>
  </w:num>
  <w:num w:numId="5" w16cid:durableId="1756197599">
    <w:abstractNumId w:val="7"/>
  </w:num>
  <w:num w:numId="6" w16cid:durableId="1903444128">
    <w:abstractNumId w:val="3"/>
  </w:num>
  <w:num w:numId="7" w16cid:durableId="235285572">
    <w:abstractNumId w:val="2"/>
  </w:num>
  <w:num w:numId="8" w16cid:durableId="1696150446">
    <w:abstractNumId w:val="1"/>
  </w:num>
  <w:num w:numId="9" w16cid:durableId="52999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3D8"/>
    <w:rsid w:val="0015074B"/>
    <w:rsid w:val="0029639D"/>
    <w:rsid w:val="00326F90"/>
    <w:rsid w:val="003564FC"/>
    <w:rsid w:val="004C01AB"/>
    <w:rsid w:val="005F7B8B"/>
    <w:rsid w:val="0088667C"/>
    <w:rsid w:val="008E570B"/>
    <w:rsid w:val="00943EC2"/>
    <w:rsid w:val="00A479E0"/>
    <w:rsid w:val="00AA1D8D"/>
    <w:rsid w:val="00AF4D33"/>
    <w:rsid w:val="00B47730"/>
    <w:rsid w:val="00C23E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D6CF6"/>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2026-05-11T21:12:00Z</dcterms:created>
  <dcterms:modified xsi:type="dcterms:W3CDTF">2026-05-11T21:45:00Z</dcterms:modified>
  <cp:category/>
</cp:coreProperties>
</file>