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F42E" w14:textId="77777777" w:rsidR="000F5B70" w:rsidRDefault="004A198B">
      <w:pPr>
        <w:spacing w:after="240"/>
        <w:jc w:val="center"/>
      </w:pPr>
      <w:r>
        <w:rPr>
          <w:noProof/>
        </w:rPr>
        <w:drawing>
          <wp:inline distT="0" distB="0" distL="0" distR="0" wp14:anchorId="0E54CD0A" wp14:editId="664ABE64">
            <wp:extent cx="6720840" cy="1344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letter16_hero.png"/>
                    <pic:cNvPicPr/>
                  </pic:nvPicPr>
                  <pic:blipFill>
                    <a:blip r:embed="rId8"/>
                    <a:stretch>
                      <a:fillRect/>
                    </a:stretch>
                  </pic:blipFill>
                  <pic:spPr>
                    <a:xfrm>
                      <a:off x="0" y="0"/>
                      <a:ext cx="6720840" cy="134416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52"/>
        <w:gridCol w:w="3552"/>
        <w:gridCol w:w="3552"/>
      </w:tblGrid>
      <w:tr w:rsidR="000F5B70" w14:paraId="257C9D32" w14:textId="77777777">
        <w:trPr>
          <w:jc w:val="center"/>
        </w:trPr>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4F45871D" w14:textId="77777777" w:rsidR="000F5B70" w:rsidRDefault="004A198B">
            <w:pPr>
              <w:spacing w:after="40"/>
              <w:jc w:val="center"/>
            </w:pPr>
            <w:r>
              <w:rPr>
                <w:b/>
                <w:color w:val="E86811"/>
                <w:sz w:val="20"/>
              </w:rPr>
              <w:t>ESTIMATED READ TIME</w:t>
            </w:r>
            <w:r>
              <w:rPr>
                <w:b/>
                <w:color w:val="E86811"/>
                <w:sz w:val="20"/>
              </w:rPr>
              <w:br/>
            </w:r>
            <w:r>
              <w:rPr>
                <w:b/>
                <w:sz w:val="24"/>
              </w:rPr>
              <w:t>4 minutes</w:t>
            </w:r>
          </w:p>
        </w:tc>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395D4DDC" w14:textId="77777777" w:rsidR="000F5B70" w:rsidRDefault="004A198B">
            <w:pPr>
              <w:spacing w:after="40"/>
              <w:jc w:val="center"/>
            </w:pPr>
            <w:r>
              <w:rPr>
                <w:b/>
                <w:color w:val="E86811"/>
                <w:sz w:val="20"/>
              </w:rPr>
              <w:t>APPROXIMATE WORD COUNT</w:t>
            </w:r>
            <w:r>
              <w:rPr>
                <w:b/>
                <w:color w:val="E86811"/>
                <w:sz w:val="20"/>
              </w:rPr>
              <w:br/>
            </w:r>
            <w:r>
              <w:rPr>
                <w:b/>
                <w:sz w:val="24"/>
              </w:rPr>
              <w:t>900 words</w:t>
            </w:r>
          </w:p>
        </w:tc>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4B80C118" w14:textId="77777777" w:rsidR="000F5B70" w:rsidRDefault="004A198B">
            <w:pPr>
              <w:spacing w:after="40"/>
              <w:jc w:val="center"/>
            </w:pPr>
            <w:r>
              <w:rPr>
                <w:b/>
                <w:color w:val="E86811"/>
                <w:sz w:val="20"/>
              </w:rPr>
              <w:t>PURPOSE</w:t>
            </w:r>
            <w:r>
              <w:rPr>
                <w:b/>
                <w:color w:val="E86811"/>
                <w:sz w:val="20"/>
              </w:rPr>
              <w:br/>
            </w:r>
            <w:r>
              <w:rPr>
                <w:b/>
                <w:sz w:val="24"/>
              </w:rPr>
              <w:t>Thought leadership essay</w:t>
            </w:r>
          </w:p>
        </w:tc>
      </w:tr>
    </w:tbl>
    <w:tbl>
      <w:tblPr>
        <w:tblW w:w="0" w:type="auto"/>
        <w:jc w:val="center"/>
        <w:tblLook w:val="04A0" w:firstRow="1" w:lastRow="0" w:firstColumn="1" w:lastColumn="0" w:noHBand="0" w:noVBand="1"/>
      </w:tblPr>
      <w:tblGrid>
        <w:gridCol w:w="10616"/>
      </w:tblGrid>
      <w:tr w:rsidR="000F5B70" w14:paraId="075E1F41" w14:textId="77777777" w:rsidTr="003043B7">
        <w:trPr>
          <w:trHeight w:val="923"/>
          <w:jc w:val="center"/>
        </w:trPr>
        <w:tc>
          <w:tcPr>
            <w:tcW w:w="10656" w:type="dxa"/>
            <w:tcBorders>
              <w:top w:val="single" w:sz="16" w:space="0" w:color="E86811"/>
              <w:left w:val="single" w:sz="16" w:space="0" w:color="E86811"/>
              <w:bottom w:val="single" w:sz="16" w:space="0" w:color="E86811"/>
              <w:right w:val="single" w:sz="16" w:space="0" w:color="E86811"/>
            </w:tcBorders>
            <w:shd w:val="clear" w:color="auto" w:fill="0B1012"/>
          </w:tcPr>
          <w:p w14:paraId="38A75B16" w14:textId="77777777" w:rsidR="000F5B70" w:rsidRDefault="004A198B" w:rsidP="00530963">
            <w:pPr>
              <w:spacing w:after="0" w:line="240" w:lineRule="auto"/>
              <w:jc w:val="center"/>
            </w:pPr>
            <w:r>
              <w:rPr>
                <w:b/>
                <w:color w:val="E86811"/>
              </w:rPr>
              <w:t>Core position:</w:t>
            </w:r>
            <w:r>
              <w:rPr>
                <w:b/>
                <w:color w:val="E86811"/>
              </w:rPr>
              <w:br/>
            </w:r>
            <w:r>
              <w:rPr>
                <w:b/>
                <w:color w:val="FFFFFF"/>
                <w:sz w:val="24"/>
              </w:rPr>
              <w:t>Authority logic cannot be universal because every enterprise defines consequence, approval rights, escalation, override, and evidence through its own operating model.</w:t>
            </w:r>
          </w:p>
        </w:tc>
      </w:tr>
    </w:tbl>
    <w:p w14:paraId="40E1C64C" w14:textId="77777777" w:rsidR="000F5B70" w:rsidRPr="00530963" w:rsidRDefault="004A198B">
      <w:pPr>
        <w:spacing w:before="320" w:after="160"/>
        <w:rPr>
          <w:rFonts w:ascii="Georgia" w:hAnsi="Georgia"/>
        </w:rPr>
      </w:pPr>
      <w:r w:rsidRPr="00530963">
        <w:rPr>
          <w:rFonts w:ascii="Georgia" w:hAnsi="Georgia"/>
          <w:b/>
          <w:color w:val="E86811"/>
          <w:sz w:val="44"/>
        </w:rPr>
        <w:t>Essay</w:t>
      </w:r>
    </w:p>
    <w:p w14:paraId="3081289A" w14:textId="77777777" w:rsidR="000F5B70" w:rsidRPr="00530963" w:rsidRDefault="004A198B">
      <w:pPr>
        <w:spacing w:after="160" w:line="259" w:lineRule="auto"/>
      </w:pPr>
      <w:r w:rsidRPr="00530963">
        <w:rPr>
          <w:b/>
        </w:rPr>
        <w:t>Authority logic fails when it is treated as a generic setting. Enterprises do not share the same decision rights, consequence thresholds, approval hierarchies, escalation rules, operating risks, or evidence standards. A bank, insurer, healthcare system, law firm, public agency, and product organization may all use AI, yet the authority conditions around their decisions are not interchangeable.</w:t>
      </w:r>
    </w:p>
    <w:p w14:paraId="65FF715D" w14:textId="77777777" w:rsidR="000F5B70" w:rsidRPr="00530963" w:rsidRDefault="004A198B">
      <w:pPr>
        <w:spacing w:after="160" w:line="259" w:lineRule="auto"/>
      </w:pPr>
      <w:r w:rsidRPr="00530963">
        <w:t xml:space="preserve">This is why enterprise configuration is mandatory. AI governance can define broad principles, but authority logic has to be calibrated to the institution. The control question is not only whether AI was used. The </w:t>
      </w:r>
      <w:proofErr w:type="gramStart"/>
      <w:r w:rsidRPr="00530963">
        <w:t>control question</w:t>
      </w:r>
      <w:proofErr w:type="gramEnd"/>
      <w:r w:rsidRPr="00530963">
        <w:t xml:space="preserve"> is whether AI participation changed the decision path under that enterprise's own authority model.</w:t>
      </w:r>
    </w:p>
    <w:p w14:paraId="13ACD953" w14:textId="77777777" w:rsidR="000F5B70" w:rsidRPr="00530963" w:rsidRDefault="004A198B">
      <w:pPr>
        <w:spacing w:after="160" w:line="259" w:lineRule="auto"/>
      </w:pPr>
      <w:r w:rsidRPr="00530963">
        <w:t>NIST's AI Risk Management Framework already points in this direction by treating AI risk management as an organizational function, not just a technical review. The framework organizes AI risk management around govern, map, measure, and manage, and the govern function applies across organizational processes and procedures. The NIST AI RMF Playbook also calls for policies that define AI risk management roles and responsibilities for positions directly and indirectly related to AI systems, including senior management, audit, product management, human AI interaction, testing, procurement, impact assessment, and oversight functions.</w:t>
      </w:r>
      <w:r w:rsidRPr="00530963">
        <w:rPr>
          <w:color w:val="E86811"/>
          <w:vertAlign w:val="superscript"/>
        </w:rPr>
        <w:t>1</w:t>
      </w:r>
    </w:p>
    <w:p w14:paraId="691A0524" w14:textId="77777777" w:rsidR="000F5B70" w:rsidRPr="00530963" w:rsidRDefault="004A198B">
      <w:pPr>
        <w:spacing w:after="160" w:line="259" w:lineRule="auto"/>
      </w:pPr>
      <w:r w:rsidRPr="00530963">
        <w:t>This public guidance supports the larger control reality. Authority has to be configured around roles, responsibilities, workflow context, and decision consequence. If those items remain generic, the enterprise may have policy language, but it does not have enforceable authority logic.</w:t>
      </w:r>
    </w:p>
    <w:p w14:paraId="26441491" w14:textId="77777777" w:rsidR="000F5B70" w:rsidRPr="00530963" w:rsidRDefault="004A198B">
      <w:pPr>
        <w:spacing w:after="160" w:line="259" w:lineRule="auto"/>
      </w:pPr>
      <w:r w:rsidRPr="00530963">
        <w:t>A universal rule might say that high risk AI output requires review. A configured rule asks a sharper question: high risk for which business function, under which consequence level, involving which data, with which authority holder, under which escalation path, and with what evidence requirement before action moves forward?</w:t>
      </w:r>
    </w:p>
    <w:p w14:paraId="1CD5B407" w14:textId="77777777" w:rsidR="000F5B70" w:rsidRPr="00530963" w:rsidRDefault="004A198B">
      <w:pPr>
        <w:spacing w:after="160" w:line="259" w:lineRule="auto"/>
      </w:pPr>
      <w:r w:rsidRPr="00530963">
        <w:t xml:space="preserve">A generic AI governance system can label a case as high risk. Decision Governance has to go further. It has to determine what the label changes inside the enterprise's real operating model. In one institution, a </w:t>
      </w:r>
      <w:proofErr w:type="gramStart"/>
      <w:r w:rsidRPr="00530963">
        <w:t>high risk</w:t>
      </w:r>
      <w:proofErr w:type="gramEnd"/>
      <w:r w:rsidRPr="00530963">
        <w:t xml:space="preserve"> customer communication may require legal review. In another, it may require compliance review, supervisory approval, privacy review, or a complete block pending exception. The same risk label can require different authority treatment because the institution's control environment is different.</w:t>
      </w:r>
    </w:p>
    <w:p w14:paraId="4D68309B" w14:textId="77777777" w:rsidR="000F5B70" w:rsidRPr="00530963" w:rsidRDefault="004A198B">
      <w:pPr>
        <w:spacing w:after="160" w:line="259" w:lineRule="auto"/>
      </w:pPr>
      <w:r w:rsidRPr="00530963">
        <w:t xml:space="preserve">A regional bank may allow a branch operations manager to approve certain AI assisted customer responses, while requiring legal review for credit denial explanations. A national insurer may route AI assisted claims recommendations through claims leadership and compliance. A healthcare system may require privacy and </w:t>
      </w:r>
      <w:r w:rsidRPr="00530963">
        <w:lastRenderedPageBreak/>
        <w:t>clinical review before AI generated patient communication leaves the organization. The AI tool may be similar. The authority logic cannot be the same.</w:t>
      </w:r>
    </w:p>
    <w:tbl>
      <w:tblPr>
        <w:tblW w:w="0" w:type="auto"/>
        <w:jc w:val="center"/>
        <w:tblLayout w:type="fixed"/>
        <w:tblLook w:val="04A0" w:firstRow="1" w:lastRow="0" w:firstColumn="1" w:lastColumn="0" w:noHBand="0" w:noVBand="1"/>
      </w:tblPr>
      <w:tblGrid>
        <w:gridCol w:w="1800"/>
        <w:gridCol w:w="8856"/>
      </w:tblGrid>
      <w:tr w:rsidR="000F5B70" w14:paraId="4B8D79C3" w14:textId="77777777" w:rsidTr="003043B7">
        <w:trPr>
          <w:jc w:val="center"/>
        </w:trPr>
        <w:tc>
          <w:tcPr>
            <w:tcW w:w="1800" w:type="dxa"/>
            <w:tcBorders>
              <w:top w:val="single" w:sz="10" w:space="0" w:color="E86811"/>
              <w:left w:val="single" w:sz="10" w:space="0" w:color="E86811"/>
              <w:bottom w:val="single" w:sz="10" w:space="0" w:color="E86811"/>
              <w:right w:val="single" w:sz="10" w:space="0" w:color="E86811"/>
            </w:tcBorders>
            <w:shd w:val="clear" w:color="auto" w:fill="0B1012"/>
            <w:vAlign w:val="center"/>
          </w:tcPr>
          <w:p w14:paraId="311D8FC3" w14:textId="77777777" w:rsidR="000F5B70" w:rsidRDefault="004A198B" w:rsidP="003043B7">
            <w:r>
              <w:rPr>
                <w:noProof/>
              </w:rPr>
              <w:drawing>
                <wp:inline distT="0" distB="0" distL="0" distR="0" wp14:anchorId="5C76E049" wp14:editId="5787482E">
                  <wp:extent cx="1005840" cy="1005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_logo_for_tables.png"/>
                          <pic:cNvPicPr/>
                        </pic:nvPicPr>
                        <pic:blipFill>
                          <a:blip r:embed="rId9"/>
                          <a:stretch>
                            <a:fillRect/>
                          </a:stretch>
                        </pic:blipFill>
                        <pic:spPr>
                          <a:xfrm>
                            <a:off x="0" y="0"/>
                            <a:ext cx="1005840" cy="1005840"/>
                          </a:xfrm>
                          <a:prstGeom prst="rect">
                            <a:avLst/>
                          </a:prstGeom>
                        </pic:spPr>
                      </pic:pic>
                    </a:graphicData>
                  </a:graphic>
                </wp:inline>
              </w:drawing>
            </w:r>
          </w:p>
        </w:tc>
        <w:tc>
          <w:tcPr>
            <w:tcW w:w="8856" w:type="dxa"/>
            <w:tcBorders>
              <w:top w:val="single" w:sz="10" w:space="0" w:color="E86811"/>
              <w:left w:val="single" w:sz="10" w:space="0" w:color="E86811"/>
              <w:bottom w:val="single" w:sz="10" w:space="0" w:color="E86811"/>
              <w:right w:val="single" w:sz="10" w:space="0" w:color="E86811"/>
            </w:tcBorders>
            <w:shd w:val="clear" w:color="auto" w:fill="F9F6F1"/>
            <w:vAlign w:val="center"/>
          </w:tcPr>
          <w:p w14:paraId="5621036E" w14:textId="77777777" w:rsidR="000F5B70" w:rsidRDefault="004A198B" w:rsidP="003043B7">
            <w:pPr>
              <w:spacing w:after="0" w:line="240" w:lineRule="auto"/>
              <w:jc w:val="center"/>
            </w:pPr>
            <w:r>
              <w:rPr>
                <w:b/>
                <w:color w:val="E86811"/>
              </w:rPr>
              <w:t>MICRO EXAMPLE:</w:t>
            </w:r>
            <w:r>
              <w:rPr>
                <w:b/>
                <w:color w:val="E86811"/>
              </w:rPr>
              <w:br/>
            </w:r>
            <w:r>
              <w:rPr>
                <w:b/>
              </w:rPr>
              <w:t>A bank and a hospital may both classify an AI generated recommendation as high risk, but the valid authority path will not be the same. The bank may need credit risk and compliance approval. The hospital may need clinical, privacy, and patient safety review. The risk label is shared. The authority logic is not.</w:t>
            </w:r>
          </w:p>
        </w:tc>
      </w:tr>
    </w:tbl>
    <w:p w14:paraId="71B9EA0C" w14:textId="77777777" w:rsidR="00530963" w:rsidRDefault="00530963">
      <w:pPr>
        <w:spacing w:after="160" w:line="259" w:lineRule="auto"/>
      </w:pPr>
    </w:p>
    <w:p w14:paraId="0D850FC6" w14:textId="2BA19ABC" w:rsidR="000F5B70" w:rsidRDefault="004A198B">
      <w:pPr>
        <w:spacing w:after="160" w:line="259" w:lineRule="auto"/>
      </w:pPr>
      <w:r>
        <w:t>The EU AI Act provides another public signal for configuration. Article 14 requires high risk AI systems to be designed and developed so they can be effectively overseen by natural persons during use, and oversight measures are intended to prevent or minimize risks to health, safety, or fundamental rights. The obligation is framed around high risk systems, but the operating lesson is broader: oversight is not abstract. It has to be appropriate to the system, the use, the users, and the risk context.</w:t>
      </w:r>
      <w:r>
        <w:rPr>
          <w:color w:val="E86811"/>
          <w:sz w:val="14"/>
          <w:vertAlign w:val="superscript"/>
        </w:rPr>
        <w:t>2</w:t>
      </w:r>
    </w:p>
    <w:p w14:paraId="44BAE1EA" w14:textId="77777777" w:rsidR="000F5B70" w:rsidRDefault="004A198B">
      <w:pPr>
        <w:spacing w:after="160" w:line="259" w:lineRule="auto"/>
      </w:pPr>
      <w:r>
        <w:t>Enterprise configuration is how that lesson becomes operational. The organization has to define which decisions are consequential, which AI participation patterns change risk, which roles may approve, which roles may only review, which actions require escalation, which overrides are valid, and which records must be preserved before execution.</w:t>
      </w:r>
    </w:p>
    <w:p w14:paraId="5079B6AF" w14:textId="77777777" w:rsidR="000F5B70" w:rsidRDefault="004A198B">
      <w:pPr>
        <w:spacing w:after="160" w:line="259" w:lineRule="auto"/>
      </w:pPr>
      <w:r>
        <w:t>This is also where vendor platforms often become too thin. A standardized platform can provide the architecture, the object model, the evidence record, and the control workflow. It should not pretend that the same authority map applies to every customer. Authority is institutional. It is tied to governance structure, business domain, regulatory exposure, operating risk, and internal accountability.</w:t>
      </w:r>
    </w:p>
    <w:p w14:paraId="686227E5" w14:textId="77777777" w:rsidR="000F5B70" w:rsidRDefault="004A198B">
      <w:pPr>
        <w:spacing w:after="160" w:line="259" w:lineRule="auto"/>
      </w:pPr>
      <w:r>
        <w:t>The OECD AI Principles connect accountability to the roles and context of AI actors and include traceability in relation to datasets, processes, and decisions made during the AI system lifecycle. This language is useful because it reinforces a practical point: accountability cannot be separated from context. A decision record is not complete unless the enterprise can explain who had authority in that context and why the action was allowed to proceed.</w:t>
      </w:r>
      <w:r>
        <w:rPr>
          <w:color w:val="E86811"/>
          <w:sz w:val="14"/>
          <w:vertAlign w:val="superscript"/>
        </w:rPr>
        <w:t>3</w:t>
      </w:r>
    </w:p>
    <w:p w14:paraId="18A1719B" w14:textId="77777777" w:rsidR="000F5B70" w:rsidRDefault="004A198B">
      <w:pPr>
        <w:spacing w:after="160" w:line="259" w:lineRule="auto"/>
      </w:pPr>
      <w:r>
        <w:t>Enterprise configuration is also a defense against false control. Without configuration, a company may believe it has governed AI because it has a policy, a dashboard, and a review step. The harder question is whether the review step matches the authority structure of the business. If AI shaped output moves through the wrong approver, under the wrong threshold, or without the correct escalation, the process may look governed while the authority path is invalid.</w:t>
      </w:r>
    </w:p>
    <w:p w14:paraId="049012FD" w14:textId="77777777" w:rsidR="000F5B70" w:rsidRDefault="004A198B">
      <w:pPr>
        <w:spacing w:after="160" w:line="259" w:lineRule="auto"/>
      </w:pPr>
      <w:r>
        <w:t>Decision Governance should make that gap visible. It should connect AI participation to the configured decision object, the configured authority holder, the configured trigger condition, the configured escalation path, and the configured evidence record. The enterprise should not have to accept a control model that sounds responsible but ignores how authority actually operates inside the institution.</w:t>
      </w:r>
    </w:p>
    <w:p w14:paraId="263538EC" w14:textId="77777777" w:rsidR="000F5B70" w:rsidRDefault="004A198B">
      <w:pPr>
        <w:spacing w:after="160" w:line="259" w:lineRule="auto"/>
      </w:pPr>
      <w:r>
        <w:t>This is why DAL-X cannot be designed as a one size fits all authority layer. The product architecture can be standard. The authority logic has to be enterprise configured. A serious control layer has to let the institution define its decision taxonomy, risk thresholds, authority roles, escalation rules, override rules, evidence expectations, and domain specific trigger logic.</w:t>
      </w:r>
    </w:p>
    <w:p w14:paraId="62D5745F" w14:textId="77777777" w:rsidR="000F5B70" w:rsidRDefault="004A198B">
      <w:pPr>
        <w:spacing w:after="160" w:line="259" w:lineRule="auto"/>
      </w:pPr>
      <w:r>
        <w:lastRenderedPageBreak/>
        <w:t>The category implication is direct. Decision Governance does not become real through universal AI policy language. It becomes real when the enterprise can translate its own authority model into enforceable control logic around AI influenced decisions.</w:t>
      </w:r>
    </w:p>
    <w:p w14:paraId="31DE5B05" w14:textId="77777777" w:rsidR="000F5B70" w:rsidRDefault="004A198B">
      <w:pPr>
        <w:spacing w:after="160" w:line="259" w:lineRule="auto"/>
      </w:pPr>
      <w:r>
        <w:t>The next control frontier is not a generic AI governance setting. It is configurable authority logic that reflects how each institution actually permits, escalates, blocks, records, and defends consequential AI influenced work.</w:t>
      </w:r>
    </w:p>
    <w:tbl>
      <w:tblPr>
        <w:tblW w:w="0" w:type="auto"/>
        <w:jc w:val="center"/>
        <w:tblLook w:val="04A0" w:firstRow="1" w:lastRow="0" w:firstColumn="1" w:lastColumn="0" w:noHBand="0" w:noVBand="1"/>
      </w:tblPr>
      <w:tblGrid>
        <w:gridCol w:w="1890"/>
        <w:gridCol w:w="8736"/>
      </w:tblGrid>
      <w:tr w:rsidR="000F5B70" w14:paraId="5B4147C3" w14:textId="77777777" w:rsidTr="003043B7">
        <w:trPr>
          <w:jc w:val="center"/>
        </w:trPr>
        <w:tc>
          <w:tcPr>
            <w:tcW w:w="1890" w:type="dxa"/>
            <w:tcBorders>
              <w:top w:val="single" w:sz="12" w:space="0" w:color="E86811"/>
              <w:left w:val="single" w:sz="12" w:space="0" w:color="E86811"/>
              <w:bottom w:val="single" w:sz="12" w:space="0" w:color="E86811"/>
              <w:right w:val="single" w:sz="12" w:space="0" w:color="E86811"/>
            </w:tcBorders>
            <w:shd w:val="clear" w:color="auto" w:fill="0B1012"/>
            <w:vAlign w:val="center"/>
          </w:tcPr>
          <w:p w14:paraId="3A56A7FB" w14:textId="77777777" w:rsidR="000F5B70" w:rsidRDefault="004A198B" w:rsidP="003043B7">
            <w:r>
              <w:rPr>
                <w:noProof/>
              </w:rPr>
              <w:drawing>
                <wp:inline distT="0" distB="0" distL="0" distR="0" wp14:anchorId="7BE8E99E" wp14:editId="31575B98">
                  <wp:extent cx="1005840" cy="1005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_logo_for_tables.png"/>
                          <pic:cNvPicPr/>
                        </pic:nvPicPr>
                        <pic:blipFill>
                          <a:blip r:embed="rId9"/>
                          <a:stretch>
                            <a:fillRect/>
                          </a:stretch>
                        </pic:blipFill>
                        <pic:spPr>
                          <a:xfrm>
                            <a:off x="0" y="0"/>
                            <a:ext cx="1005840" cy="1005840"/>
                          </a:xfrm>
                          <a:prstGeom prst="rect">
                            <a:avLst/>
                          </a:prstGeom>
                        </pic:spPr>
                      </pic:pic>
                    </a:graphicData>
                  </a:graphic>
                </wp:inline>
              </w:drawing>
            </w:r>
          </w:p>
        </w:tc>
        <w:tc>
          <w:tcPr>
            <w:tcW w:w="8766" w:type="dxa"/>
            <w:tcBorders>
              <w:top w:val="single" w:sz="12" w:space="0" w:color="E86811"/>
              <w:left w:val="single" w:sz="12" w:space="0" w:color="E86811"/>
              <w:bottom w:val="single" w:sz="12" w:space="0" w:color="E86811"/>
              <w:right w:val="single" w:sz="12" w:space="0" w:color="E86811"/>
            </w:tcBorders>
            <w:shd w:val="clear" w:color="auto" w:fill="F9F6F1"/>
            <w:vAlign w:val="center"/>
          </w:tcPr>
          <w:p w14:paraId="297727DE" w14:textId="77777777" w:rsidR="000F5B70" w:rsidRDefault="004A198B" w:rsidP="003043B7">
            <w:pPr>
              <w:spacing w:after="0"/>
              <w:jc w:val="center"/>
            </w:pPr>
            <w:r>
              <w:rPr>
                <w:b/>
                <w:color w:val="E86811"/>
              </w:rPr>
              <w:t>CATEGORY CLAIM:</w:t>
            </w:r>
            <w:r>
              <w:rPr>
                <w:b/>
                <w:color w:val="E86811"/>
              </w:rPr>
              <w:br/>
            </w:r>
            <w:r>
              <w:rPr>
                <w:b/>
              </w:rPr>
              <w:t>Enterprise configuration is mandatory because authority logic has to reflect the institution's real decision rights, consequence thresholds, escalation paths, and evidence obligations.</w:t>
            </w:r>
          </w:p>
        </w:tc>
      </w:tr>
    </w:tbl>
    <w:p w14:paraId="726AF50E" w14:textId="77777777" w:rsidR="000F5B70" w:rsidRPr="00530963" w:rsidRDefault="004A198B">
      <w:pPr>
        <w:spacing w:before="320" w:after="160"/>
        <w:rPr>
          <w:rFonts w:ascii="Georgia" w:hAnsi="Georgia"/>
        </w:rPr>
      </w:pPr>
      <w:r w:rsidRPr="00530963">
        <w:rPr>
          <w:rFonts w:ascii="Georgia" w:hAnsi="Georgia"/>
          <w:b/>
          <w:color w:val="E86811"/>
          <w:sz w:val="44"/>
        </w:rPr>
        <w:t>Source Notes</w:t>
      </w:r>
    </w:p>
    <w:p w14:paraId="0C480589" w14:textId="77777777" w:rsidR="000F5B70" w:rsidRPr="00530963" w:rsidRDefault="004A198B">
      <w:pPr>
        <w:spacing w:after="80" w:line="240" w:lineRule="auto"/>
        <w:rPr>
          <w:sz w:val="18"/>
          <w:szCs w:val="18"/>
        </w:rPr>
      </w:pPr>
      <w:r w:rsidRPr="00530963">
        <w:rPr>
          <w:b/>
          <w:color w:val="E86811"/>
          <w:sz w:val="18"/>
          <w:szCs w:val="18"/>
        </w:rPr>
        <w:t xml:space="preserve">1. </w:t>
      </w:r>
      <w:r w:rsidRPr="00530963">
        <w:rPr>
          <w:sz w:val="18"/>
          <w:szCs w:val="18"/>
        </w:rPr>
        <w:t>NIST AI Risk Management Framework and AI RMF Playbook. NIST organizes AI risk management through Govern, Map, Measure, and Manage functions. The Playbook identifies policies that define AI risk management roles and responsibilities for positions directly and indirectly related to AI systems. Source: https://airc.nist.gov/airmf-resources/playbook/govern/</w:t>
      </w:r>
    </w:p>
    <w:p w14:paraId="42091E87" w14:textId="77777777" w:rsidR="000F5B70" w:rsidRPr="00530963" w:rsidRDefault="004A198B">
      <w:pPr>
        <w:spacing w:after="80" w:line="240" w:lineRule="auto"/>
        <w:rPr>
          <w:sz w:val="18"/>
          <w:szCs w:val="18"/>
        </w:rPr>
      </w:pPr>
      <w:r w:rsidRPr="00530963">
        <w:rPr>
          <w:b/>
          <w:color w:val="E86811"/>
          <w:sz w:val="18"/>
          <w:szCs w:val="18"/>
        </w:rPr>
        <w:t xml:space="preserve">2. </w:t>
      </w:r>
      <w:r w:rsidRPr="00530963">
        <w:rPr>
          <w:sz w:val="18"/>
          <w:szCs w:val="18"/>
        </w:rPr>
        <w:t xml:space="preserve">EU AI Act, Article 14. Article 14 addresses human oversight for </w:t>
      </w:r>
      <w:proofErr w:type="gramStart"/>
      <w:r w:rsidRPr="00530963">
        <w:rPr>
          <w:sz w:val="18"/>
          <w:szCs w:val="18"/>
        </w:rPr>
        <w:t>high risk</w:t>
      </w:r>
      <w:proofErr w:type="gramEnd"/>
      <w:r w:rsidRPr="00530963">
        <w:rPr>
          <w:sz w:val="18"/>
          <w:szCs w:val="18"/>
        </w:rPr>
        <w:t xml:space="preserve"> AI systems and states that oversight measures should aim to prevent or minimise risks to health, safety, or fundamental rights. Source: https://artificialintelligenceact.eu/article/14/</w:t>
      </w:r>
    </w:p>
    <w:p w14:paraId="72E4FF00" w14:textId="77777777" w:rsidR="000F5B70" w:rsidRPr="00530963" w:rsidRDefault="004A198B">
      <w:pPr>
        <w:spacing w:after="80" w:line="240" w:lineRule="auto"/>
        <w:rPr>
          <w:sz w:val="18"/>
          <w:szCs w:val="18"/>
        </w:rPr>
      </w:pPr>
      <w:r w:rsidRPr="00530963">
        <w:rPr>
          <w:b/>
          <w:color w:val="E86811"/>
          <w:sz w:val="18"/>
          <w:szCs w:val="18"/>
        </w:rPr>
        <w:t xml:space="preserve">3. </w:t>
      </w:r>
      <w:r w:rsidRPr="00530963">
        <w:rPr>
          <w:sz w:val="18"/>
          <w:szCs w:val="18"/>
        </w:rPr>
        <w:t>OECD AI Principles. Accountability includes traceability in relation to datasets, processes, and decisions made during the AI system lifecycle. Source: https://www.oecd.org/en/topics/sub-issues/ai-principles.html</w:t>
      </w:r>
    </w:p>
    <w:p w14:paraId="02D523DD" w14:textId="77777777" w:rsidR="00FB3153" w:rsidRPr="0009179E" w:rsidRDefault="00FB3153" w:rsidP="00FB3153">
      <w:pPr>
        <w:spacing w:after="0" w:line="240" w:lineRule="auto"/>
        <w:rPr>
          <w:sz w:val="18"/>
          <w:szCs w:val="18"/>
        </w:rPr>
      </w:pPr>
      <w:r w:rsidRPr="0009179E">
        <w:rPr>
          <w:b/>
          <w:color w:val="FF6A00"/>
          <w:sz w:val="18"/>
          <w:szCs w:val="18"/>
        </w:rPr>
        <w:t xml:space="preserve">Prepared for: </w:t>
      </w:r>
      <w:r w:rsidRPr="0009179E">
        <w:rPr>
          <w:color w:val="090D0F"/>
          <w:sz w:val="18"/>
          <w:szCs w:val="18"/>
        </w:rPr>
        <w:t xml:space="preserve">Kevin Moore, Founder, </w:t>
      </w:r>
      <w:proofErr w:type="spellStart"/>
      <w:r w:rsidRPr="0009179E">
        <w:rPr>
          <w:color w:val="090D0F"/>
          <w:sz w:val="18"/>
          <w:szCs w:val="18"/>
        </w:rPr>
        <w:t>Jochanni</w:t>
      </w:r>
      <w:proofErr w:type="spellEnd"/>
      <w:r w:rsidRPr="0009179E">
        <w:rPr>
          <w:color w:val="090D0F"/>
          <w:sz w:val="18"/>
          <w:szCs w:val="18"/>
        </w:rPr>
        <w:t xml:space="preserve"> Labs</w:t>
      </w:r>
    </w:p>
    <w:p w14:paraId="45CD9426" w14:textId="77777777" w:rsidR="00FB3153" w:rsidRPr="0009179E" w:rsidRDefault="00FB3153" w:rsidP="00FB3153">
      <w:pPr>
        <w:spacing w:after="0" w:line="240" w:lineRule="auto"/>
        <w:rPr>
          <w:sz w:val="18"/>
          <w:szCs w:val="18"/>
        </w:rPr>
      </w:pPr>
      <w:r w:rsidRPr="0009179E">
        <w:rPr>
          <w:b/>
          <w:color w:val="FF6A00"/>
          <w:sz w:val="18"/>
          <w:szCs w:val="18"/>
        </w:rPr>
        <w:t>Publication series: Decision Governance Strategic Intelligence Series</w:t>
      </w:r>
    </w:p>
    <w:p w14:paraId="56179AA9" w14:textId="41BCCB6E" w:rsidR="000F5B70" w:rsidRDefault="000F5B70" w:rsidP="00FB3153">
      <w:pPr>
        <w:spacing w:before="120"/>
      </w:pPr>
    </w:p>
    <w:sectPr w:rsidR="000F5B70" w:rsidSect="00034616">
      <w:headerReference w:type="default" r:id="rId10"/>
      <w:footerReference w:type="default" r:id="rId11"/>
      <w:pgSz w:w="12240" w:h="15840"/>
      <w:pgMar w:top="576"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68AF9" w14:textId="77777777" w:rsidR="009F732D" w:rsidRDefault="009F732D">
      <w:pPr>
        <w:spacing w:after="0" w:line="240" w:lineRule="auto"/>
      </w:pPr>
      <w:r>
        <w:separator/>
      </w:r>
    </w:p>
  </w:endnote>
  <w:endnote w:type="continuationSeparator" w:id="0">
    <w:p w14:paraId="664CD022" w14:textId="77777777" w:rsidR="009F732D" w:rsidRDefault="009F7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B435" w14:textId="77777777" w:rsidR="000F5B70" w:rsidRDefault="004A198B">
    <w:pPr>
      <w:pStyle w:val="Footer"/>
      <w:jc w:val="center"/>
    </w:pPr>
    <w:r>
      <w:rPr>
        <w:color w:val="787878"/>
        <w:sz w:val="16"/>
      </w:rPr>
      <w:t>Why Enterprise Configuration Is Mandatory For Authority Logic.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93C2B" w14:textId="77777777" w:rsidR="009F732D" w:rsidRDefault="009F732D">
      <w:pPr>
        <w:spacing w:after="0" w:line="240" w:lineRule="auto"/>
      </w:pPr>
      <w:r>
        <w:separator/>
      </w:r>
    </w:p>
  </w:footnote>
  <w:footnote w:type="continuationSeparator" w:id="0">
    <w:p w14:paraId="43E23DF1" w14:textId="77777777" w:rsidR="009F732D" w:rsidRDefault="009F7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390F" w14:textId="77777777" w:rsidR="000F5B70" w:rsidRDefault="004A198B">
    <w:pPr>
      <w:pStyle w:val="Header"/>
      <w:jc w:val="right"/>
    </w:pPr>
    <w:proofErr w:type="spellStart"/>
    <w:r>
      <w:rPr>
        <w:b/>
        <w:color w:val="E86811"/>
        <w:sz w:val="18"/>
      </w:rPr>
      <w:t>Jochanni</w:t>
    </w:r>
    <w:proofErr w:type="spellEnd"/>
    <w:r>
      <w:rPr>
        <w:b/>
        <w:color w:val="E86811"/>
        <w:sz w:val="18"/>
      </w:rPr>
      <w:t xml:space="preserve"> Labs  |  Decision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018026">
    <w:abstractNumId w:val="8"/>
  </w:num>
  <w:num w:numId="2" w16cid:durableId="2021928283">
    <w:abstractNumId w:val="6"/>
  </w:num>
  <w:num w:numId="3" w16cid:durableId="1963918997">
    <w:abstractNumId w:val="5"/>
  </w:num>
  <w:num w:numId="4" w16cid:durableId="431242139">
    <w:abstractNumId w:val="4"/>
  </w:num>
  <w:num w:numId="5" w16cid:durableId="485170150">
    <w:abstractNumId w:val="7"/>
  </w:num>
  <w:num w:numId="6" w16cid:durableId="1597861526">
    <w:abstractNumId w:val="3"/>
  </w:num>
  <w:num w:numId="7" w16cid:durableId="541598616">
    <w:abstractNumId w:val="2"/>
  </w:num>
  <w:num w:numId="8" w16cid:durableId="2026439172">
    <w:abstractNumId w:val="1"/>
  </w:num>
  <w:num w:numId="9" w16cid:durableId="1152523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B70"/>
    <w:rsid w:val="0015074B"/>
    <w:rsid w:val="0029639D"/>
    <w:rsid w:val="003043B7"/>
    <w:rsid w:val="00326F90"/>
    <w:rsid w:val="004A198B"/>
    <w:rsid w:val="00530963"/>
    <w:rsid w:val="00703B08"/>
    <w:rsid w:val="00943EC2"/>
    <w:rsid w:val="009F732D"/>
    <w:rsid w:val="00AA1D8D"/>
    <w:rsid w:val="00B47730"/>
    <w:rsid w:val="00CB0664"/>
    <w:rsid w:val="00FB31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03007"/>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3</cp:revision>
  <dcterms:created xsi:type="dcterms:W3CDTF">2026-05-11T21:16:00Z</dcterms:created>
  <dcterms:modified xsi:type="dcterms:W3CDTF">2026-05-11T21:46:00Z</dcterms:modified>
  <cp:category/>
</cp:coreProperties>
</file>