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A444D" w14:textId="77777777" w:rsidR="00B70D43" w:rsidRDefault="00946FF4">
      <w:pPr>
        <w:spacing w:after="240"/>
        <w:jc w:val="center"/>
      </w:pPr>
      <w:r>
        <w:rPr>
          <w:noProof/>
        </w:rPr>
        <w:drawing>
          <wp:inline distT="0" distB="0" distL="0" distR="0" wp14:anchorId="06C1CF9E" wp14:editId="4D2CDEFE">
            <wp:extent cx="6786880" cy="13436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sletter17_hero.png"/>
                    <pic:cNvPicPr/>
                  </pic:nvPicPr>
                  <pic:blipFill>
                    <a:blip r:embed="rId8"/>
                    <a:stretch>
                      <a:fillRect/>
                    </a:stretch>
                  </pic:blipFill>
                  <pic:spPr>
                    <a:xfrm>
                      <a:off x="0" y="0"/>
                      <a:ext cx="6789447" cy="1344168"/>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3552"/>
        <w:gridCol w:w="3552"/>
        <w:gridCol w:w="3552"/>
      </w:tblGrid>
      <w:tr w:rsidR="00B70D43" w14:paraId="11669243" w14:textId="77777777">
        <w:trPr>
          <w:jc w:val="center"/>
        </w:trPr>
        <w:tc>
          <w:tcPr>
            <w:tcW w:w="3552" w:type="dxa"/>
            <w:tcBorders>
              <w:top w:val="single" w:sz="6" w:space="0" w:color="DDDDDD"/>
              <w:left w:val="single" w:sz="6" w:space="0" w:color="DDDDDD"/>
              <w:bottom w:val="single" w:sz="6" w:space="0" w:color="DDDDDD"/>
              <w:right w:val="single" w:sz="6" w:space="0" w:color="DDDDDD"/>
            </w:tcBorders>
            <w:shd w:val="clear" w:color="auto" w:fill="F5F3F0"/>
            <w:vAlign w:val="center"/>
          </w:tcPr>
          <w:p w14:paraId="715B17A9" w14:textId="77777777" w:rsidR="00B70D43" w:rsidRPr="00D16017" w:rsidRDefault="00946FF4">
            <w:pPr>
              <w:spacing w:after="40"/>
              <w:jc w:val="center"/>
            </w:pPr>
            <w:r w:rsidRPr="00D16017">
              <w:rPr>
                <w:rFonts w:ascii="Aptos" w:hAnsi="Aptos"/>
                <w:b/>
                <w:color w:val="E86811"/>
              </w:rPr>
              <w:t>ESTIMATED READ TIME</w:t>
            </w:r>
            <w:r w:rsidRPr="00D16017">
              <w:rPr>
                <w:rFonts w:ascii="Aptos" w:hAnsi="Aptos"/>
                <w:b/>
                <w:color w:val="E86811"/>
              </w:rPr>
              <w:br/>
            </w:r>
            <w:r w:rsidRPr="00D16017">
              <w:rPr>
                <w:rFonts w:ascii="Aptos" w:hAnsi="Aptos"/>
                <w:b/>
              </w:rPr>
              <w:t>4 minutes</w:t>
            </w:r>
          </w:p>
        </w:tc>
        <w:tc>
          <w:tcPr>
            <w:tcW w:w="3552" w:type="dxa"/>
            <w:tcBorders>
              <w:top w:val="single" w:sz="6" w:space="0" w:color="DDDDDD"/>
              <w:left w:val="single" w:sz="6" w:space="0" w:color="DDDDDD"/>
              <w:bottom w:val="single" w:sz="6" w:space="0" w:color="DDDDDD"/>
              <w:right w:val="single" w:sz="6" w:space="0" w:color="DDDDDD"/>
            </w:tcBorders>
            <w:shd w:val="clear" w:color="auto" w:fill="F5F3F0"/>
            <w:vAlign w:val="center"/>
          </w:tcPr>
          <w:p w14:paraId="4EA7987E" w14:textId="77777777" w:rsidR="00B70D43" w:rsidRPr="00D16017" w:rsidRDefault="00946FF4">
            <w:pPr>
              <w:spacing w:after="40"/>
              <w:jc w:val="center"/>
            </w:pPr>
            <w:r w:rsidRPr="00D16017">
              <w:rPr>
                <w:rFonts w:ascii="Aptos" w:hAnsi="Aptos"/>
                <w:b/>
                <w:color w:val="E86811"/>
              </w:rPr>
              <w:t>APPROXIMATE WORD COUNT</w:t>
            </w:r>
            <w:r w:rsidRPr="00D16017">
              <w:rPr>
                <w:rFonts w:ascii="Aptos" w:hAnsi="Aptos"/>
                <w:b/>
                <w:color w:val="E86811"/>
              </w:rPr>
              <w:br/>
            </w:r>
            <w:r w:rsidRPr="00D16017">
              <w:rPr>
                <w:rFonts w:ascii="Aptos" w:hAnsi="Aptos"/>
                <w:b/>
              </w:rPr>
              <w:t>895 words</w:t>
            </w:r>
          </w:p>
        </w:tc>
        <w:tc>
          <w:tcPr>
            <w:tcW w:w="3552" w:type="dxa"/>
            <w:tcBorders>
              <w:top w:val="single" w:sz="6" w:space="0" w:color="DDDDDD"/>
              <w:left w:val="single" w:sz="6" w:space="0" w:color="DDDDDD"/>
              <w:bottom w:val="single" w:sz="6" w:space="0" w:color="DDDDDD"/>
              <w:right w:val="single" w:sz="6" w:space="0" w:color="DDDDDD"/>
            </w:tcBorders>
            <w:shd w:val="clear" w:color="auto" w:fill="F5F3F0"/>
            <w:vAlign w:val="center"/>
          </w:tcPr>
          <w:p w14:paraId="0E91FB69" w14:textId="77777777" w:rsidR="00B70D43" w:rsidRPr="00D16017" w:rsidRDefault="00946FF4">
            <w:pPr>
              <w:spacing w:after="40"/>
              <w:jc w:val="center"/>
            </w:pPr>
            <w:r w:rsidRPr="00D16017">
              <w:rPr>
                <w:rFonts w:ascii="Aptos" w:hAnsi="Aptos"/>
                <w:b/>
                <w:color w:val="E86811"/>
              </w:rPr>
              <w:t>PURPOSE</w:t>
            </w:r>
            <w:r w:rsidRPr="00D16017">
              <w:rPr>
                <w:rFonts w:ascii="Aptos" w:hAnsi="Aptos"/>
                <w:b/>
                <w:color w:val="E86811"/>
              </w:rPr>
              <w:br/>
            </w:r>
            <w:r w:rsidRPr="00D16017">
              <w:rPr>
                <w:rFonts w:ascii="Aptos" w:hAnsi="Aptos"/>
                <w:b/>
              </w:rPr>
              <w:t>Thought leadership essay</w:t>
            </w:r>
          </w:p>
        </w:tc>
      </w:tr>
    </w:tbl>
    <w:tbl>
      <w:tblPr>
        <w:tblW w:w="0" w:type="auto"/>
        <w:jc w:val="center"/>
        <w:tblLook w:val="04A0" w:firstRow="1" w:lastRow="0" w:firstColumn="1" w:lastColumn="0" w:noHBand="0" w:noVBand="1"/>
      </w:tblPr>
      <w:tblGrid>
        <w:gridCol w:w="10616"/>
      </w:tblGrid>
      <w:tr w:rsidR="00B70D43" w14:paraId="22C13AC2" w14:textId="77777777">
        <w:trPr>
          <w:jc w:val="center"/>
        </w:trPr>
        <w:tc>
          <w:tcPr>
            <w:tcW w:w="10656" w:type="dxa"/>
            <w:tcBorders>
              <w:top w:val="single" w:sz="16" w:space="0" w:color="E86811"/>
              <w:left w:val="single" w:sz="16" w:space="0" w:color="E86811"/>
              <w:bottom w:val="single" w:sz="16" w:space="0" w:color="E86811"/>
              <w:right w:val="single" w:sz="16" w:space="0" w:color="E86811"/>
            </w:tcBorders>
            <w:shd w:val="clear" w:color="auto" w:fill="0B1012"/>
          </w:tcPr>
          <w:p w14:paraId="2705C0C6" w14:textId="77777777" w:rsidR="00B70D43" w:rsidRPr="00D16017" w:rsidRDefault="00946FF4" w:rsidP="00D16017">
            <w:pPr>
              <w:spacing w:after="0" w:line="240" w:lineRule="auto"/>
              <w:jc w:val="center"/>
              <w:rPr>
                <w:sz w:val="24"/>
                <w:szCs w:val="24"/>
              </w:rPr>
            </w:pPr>
            <w:r w:rsidRPr="00D16017">
              <w:rPr>
                <w:rFonts w:ascii="Aptos" w:hAnsi="Aptos"/>
                <w:b/>
                <w:color w:val="E86811"/>
                <w:sz w:val="24"/>
                <w:szCs w:val="24"/>
              </w:rPr>
              <w:t>Core position:</w:t>
            </w:r>
            <w:r w:rsidRPr="00D16017">
              <w:rPr>
                <w:rFonts w:ascii="Aptos" w:hAnsi="Aptos"/>
                <w:b/>
                <w:color w:val="E86811"/>
                <w:sz w:val="24"/>
                <w:szCs w:val="24"/>
              </w:rPr>
              <w:br/>
            </w:r>
            <w:r w:rsidRPr="00D16017">
              <w:rPr>
                <w:rFonts w:ascii="Aptos" w:hAnsi="Aptos"/>
                <w:b/>
                <w:color w:val="FFFFFF"/>
                <w:sz w:val="24"/>
                <w:szCs w:val="24"/>
              </w:rPr>
              <w:t>AI assisted execution needs readiness gates because speed becomes exposure when work moves before scope, authority, controls, and evidence have been validated.</w:t>
            </w:r>
          </w:p>
        </w:tc>
      </w:tr>
    </w:tbl>
    <w:p w14:paraId="69F7DB3F" w14:textId="77777777" w:rsidR="00B70D43" w:rsidRPr="00D16017" w:rsidRDefault="00946FF4">
      <w:pPr>
        <w:spacing w:before="320" w:after="160"/>
        <w:rPr>
          <w:rFonts w:ascii="Georgia" w:hAnsi="Georgia"/>
        </w:rPr>
      </w:pPr>
      <w:r w:rsidRPr="00D16017">
        <w:rPr>
          <w:rFonts w:ascii="Georgia" w:hAnsi="Georgia"/>
          <w:b/>
          <w:color w:val="E86811"/>
          <w:sz w:val="44"/>
        </w:rPr>
        <w:t>Essay</w:t>
      </w:r>
    </w:p>
    <w:p w14:paraId="64A2F79F" w14:textId="77777777" w:rsidR="00B70D43" w:rsidRPr="00D16017" w:rsidRDefault="00946FF4">
      <w:pPr>
        <w:spacing w:after="160" w:line="259" w:lineRule="auto"/>
      </w:pPr>
      <w:r w:rsidRPr="00D16017">
        <w:rPr>
          <w:rFonts w:ascii="Aptos" w:hAnsi="Aptos"/>
          <w:b/>
        </w:rPr>
        <w:t>AI assisted execution creates pressure to move faster than the enterprise control model can validate. A prompt can produce a requirement. A coding agent can produce a change. A workflow agent can prepare an action. A business user can turn AI output into a recommendation, response, exception, approval package, or operational instruction. The work may look ready because the output appears complete. Completion is not readiness.</w:t>
      </w:r>
    </w:p>
    <w:p w14:paraId="5B0272A4" w14:textId="77777777" w:rsidR="00B70D43" w:rsidRPr="00D16017" w:rsidRDefault="00946FF4">
      <w:pPr>
        <w:spacing w:after="160" w:line="259" w:lineRule="auto"/>
      </w:pPr>
      <w:r w:rsidRPr="00D16017">
        <w:rPr>
          <w:rFonts w:ascii="Aptos" w:hAnsi="Aptos"/>
        </w:rPr>
        <w:t>A readiness gate is the control point that determines whether AI assisted work is eligible to move into the next stage of execution. It is not a meeting ritual and not a documentation burden. It is the moment where the enterprise confirms scope, authority, risk, evidence, review path, and permitted action before work becomes operational consequence.</w:t>
      </w:r>
    </w:p>
    <w:p w14:paraId="07F4DC4B" w14:textId="77777777" w:rsidR="00B70D43" w:rsidRPr="00D16017" w:rsidRDefault="00946FF4">
      <w:pPr>
        <w:spacing w:after="160" w:line="259" w:lineRule="auto"/>
      </w:pPr>
      <w:r w:rsidRPr="00D16017">
        <w:rPr>
          <w:rFonts w:ascii="Aptos" w:hAnsi="Aptos"/>
        </w:rPr>
        <w:t xml:space="preserve">Without readiness gates, AI assisted execution can create a false sense of progress. The enterprise may have </w:t>
      </w:r>
      <w:proofErr w:type="gramStart"/>
      <w:r w:rsidRPr="00D16017">
        <w:rPr>
          <w:rFonts w:ascii="Aptos" w:hAnsi="Aptos"/>
        </w:rPr>
        <w:t>output, but</w:t>
      </w:r>
      <w:proofErr w:type="gramEnd"/>
      <w:r w:rsidRPr="00D16017">
        <w:rPr>
          <w:rFonts w:ascii="Aptos" w:hAnsi="Aptos"/>
        </w:rPr>
        <w:t xml:space="preserve"> not approved scope. It may have a </w:t>
      </w:r>
      <w:proofErr w:type="gramStart"/>
      <w:r w:rsidRPr="00D16017">
        <w:rPr>
          <w:rFonts w:ascii="Aptos" w:hAnsi="Aptos"/>
        </w:rPr>
        <w:t>draft, but</w:t>
      </w:r>
      <w:proofErr w:type="gramEnd"/>
      <w:r w:rsidRPr="00D16017">
        <w:rPr>
          <w:rFonts w:ascii="Aptos" w:hAnsi="Aptos"/>
        </w:rPr>
        <w:t xml:space="preserve"> not validated authority. It may have generated </w:t>
      </w:r>
      <w:proofErr w:type="gramStart"/>
      <w:r w:rsidRPr="00D16017">
        <w:rPr>
          <w:rFonts w:ascii="Aptos" w:hAnsi="Aptos"/>
        </w:rPr>
        <w:t>code, but</w:t>
      </w:r>
      <w:proofErr w:type="gramEnd"/>
      <w:r w:rsidRPr="00D16017">
        <w:rPr>
          <w:rFonts w:ascii="Aptos" w:hAnsi="Aptos"/>
        </w:rPr>
        <w:t xml:space="preserve"> not testing evidence. It may have a decision recommendation, but not an authorized decision path. Speed can look like delivery while control is being bypassed.</w:t>
      </w:r>
    </w:p>
    <w:p w14:paraId="57B3CD23" w14:textId="77777777" w:rsidR="00B70D43" w:rsidRPr="00D16017" w:rsidRDefault="00946FF4">
      <w:pPr>
        <w:spacing w:after="160" w:line="259" w:lineRule="auto"/>
      </w:pPr>
      <w:r w:rsidRPr="00D16017">
        <w:rPr>
          <w:rFonts w:ascii="Aptos" w:hAnsi="Aptos"/>
        </w:rPr>
        <w:t xml:space="preserve">NIST's AI Risk Management Framework is useful here because it does not treat AI risk as a </w:t>
      </w:r>
      <w:proofErr w:type="gramStart"/>
      <w:r w:rsidRPr="00D16017">
        <w:rPr>
          <w:rFonts w:ascii="Aptos" w:hAnsi="Aptos"/>
        </w:rPr>
        <w:t>one time</w:t>
      </w:r>
      <w:proofErr w:type="gramEnd"/>
      <w:r w:rsidRPr="00D16017">
        <w:rPr>
          <w:rFonts w:ascii="Aptos" w:hAnsi="Aptos"/>
        </w:rPr>
        <w:t xml:space="preserve"> technical review. The AI RMF Core is organized around Govern, Map, Measure, and Manage functions. NIST states that Govern applies to all stages of an organization's AI risk management processes and procedures, while Map, Measure, and Manage can be applied in system specific contexts and at specific stages of the AI lifecycle.</w:t>
      </w:r>
      <w:r w:rsidRPr="00D16017">
        <w:rPr>
          <w:rFonts w:ascii="Aptos" w:hAnsi="Aptos"/>
          <w:color w:val="E86811"/>
          <w:vertAlign w:val="superscript"/>
        </w:rPr>
        <w:t>1</w:t>
      </w:r>
    </w:p>
    <w:p w14:paraId="27D191C8" w14:textId="77777777" w:rsidR="00B70D43" w:rsidRPr="00D16017" w:rsidRDefault="00946FF4">
      <w:pPr>
        <w:spacing w:after="160" w:line="259" w:lineRule="auto"/>
      </w:pPr>
      <w:r w:rsidRPr="00D16017">
        <w:rPr>
          <w:rFonts w:ascii="Aptos" w:hAnsi="Aptos"/>
        </w:rPr>
        <w:t>A readiness gate translates that discipline into execution control. Before an AI assisted artifact moves forward, the enterprise has to know whether the work is inside approved scope, whether the required human authority is identified, whether control triggers fired, whether the evidence record is complete, and whether the next action is allowed. If the answer is not clear, the work should not move just because AI made it look polished.</w:t>
      </w:r>
    </w:p>
    <w:p w14:paraId="2DD265DF" w14:textId="77777777" w:rsidR="00B70D43" w:rsidRPr="00D16017" w:rsidRDefault="00946FF4">
      <w:pPr>
        <w:spacing w:after="160" w:line="259" w:lineRule="auto"/>
      </w:pPr>
      <w:r w:rsidRPr="00D16017">
        <w:rPr>
          <w:rFonts w:ascii="Aptos" w:hAnsi="Aptos"/>
        </w:rPr>
        <w:t>AI assisted execution is especially dangerous when readiness is confused with confidence. A confident draft is not the same as an approved decision. A clean summary is not the same as verified analysis. A generated build artifact is not the same as controlled release readiness. A completed task does not prove that the task was allowed to proceed.</w:t>
      </w:r>
    </w:p>
    <w:p w14:paraId="7B9AE909" w14:textId="77777777" w:rsidR="00B70D43" w:rsidRPr="00D16017" w:rsidRDefault="00946FF4">
      <w:pPr>
        <w:spacing w:after="160" w:line="259" w:lineRule="auto"/>
      </w:pPr>
      <w:r w:rsidRPr="00D16017">
        <w:rPr>
          <w:rFonts w:ascii="Aptos" w:hAnsi="Aptos"/>
        </w:rPr>
        <w:t xml:space="preserve">A product team may use AI to convert a founder directive into build tickets. The tickets may be well written, but a readiness gate still has to confirm whether the scope is approved, whether excluded features were added, </w:t>
      </w:r>
      <w:r w:rsidRPr="00D16017">
        <w:rPr>
          <w:rFonts w:ascii="Aptos" w:hAnsi="Aptos"/>
        </w:rPr>
        <w:lastRenderedPageBreak/>
        <w:t>whether the milestone boundary was respected, whether dependencies were checked, and whether implementation authority has been granted. The AI output is useful only after the execution path is validated.</w:t>
      </w:r>
    </w:p>
    <w:p w14:paraId="00EAF3FC" w14:textId="77777777" w:rsidR="00B70D43" w:rsidRPr="00D16017" w:rsidRDefault="00946FF4">
      <w:pPr>
        <w:spacing w:after="160" w:line="259" w:lineRule="auto"/>
      </w:pPr>
      <w:r w:rsidRPr="00D16017">
        <w:rPr>
          <w:rFonts w:ascii="Aptos" w:hAnsi="Aptos"/>
        </w:rPr>
        <w:t>The same control requirement exists outside software delivery. A legal team may use AI to draft a regulatory impact summary. A claims team may use AI to prepare a denial rationale. A finance team may use AI to produce a risk memo. A customer operations team may use AI to draft a remediation response. The readiness question is not whether the draft reads well. The readiness question is whether the organization has approved the use, verified the control conditions, identified the authority holder, and preserved the record before action moves forward.</w:t>
      </w:r>
    </w:p>
    <w:tbl>
      <w:tblPr>
        <w:tblW w:w="0" w:type="auto"/>
        <w:jc w:val="center"/>
        <w:tblLayout w:type="fixed"/>
        <w:tblLook w:val="04A0" w:firstRow="1" w:lastRow="0" w:firstColumn="1" w:lastColumn="0" w:noHBand="0" w:noVBand="1"/>
      </w:tblPr>
      <w:tblGrid>
        <w:gridCol w:w="1800"/>
        <w:gridCol w:w="8856"/>
      </w:tblGrid>
      <w:tr w:rsidR="00B70D43" w14:paraId="7BD854ED" w14:textId="77777777" w:rsidTr="009C7891">
        <w:trPr>
          <w:jc w:val="center"/>
        </w:trPr>
        <w:tc>
          <w:tcPr>
            <w:tcW w:w="1800" w:type="dxa"/>
            <w:tcBorders>
              <w:top w:val="single" w:sz="10" w:space="0" w:color="E86811"/>
              <w:left w:val="single" w:sz="10" w:space="0" w:color="E86811"/>
              <w:bottom w:val="single" w:sz="10" w:space="0" w:color="E86811"/>
              <w:right w:val="single" w:sz="10" w:space="0" w:color="E86811"/>
            </w:tcBorders>
            <w:shd w:val="clear" w:color="auto" w:fill="0B1012"/>
            <w:vAlign w:val="center"/>
          </w:tcPr>
          <w:p w14:paraId="509ECBCF" w14:textId="77777777" w:rsidR="00B70D43" w:rsidRDefault="00946FF4" w:rsidP="009C7891">
            <w:r>
              <w:rPr>
                <w:noProof/>
              </w:rPr>
              <w:drawing>
                <wp:inline distT="0" distB="0" distL="0" distR="0" wp14:anchorId="35194DBA" wp14:editId="26C79DCE">
                  <wp:extent cx="1005840" cy="1005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l_logo17_for_tables.png"/>
                          <pic:cNvPicPr/>
                        </pic:nvPicPr>
                        <pic:blipFill>
                          <a:blip r:embed="rId9"/>
                          <a:stretch>
                            <a:fillRect/>
                          </a:stretch>
                        </pic:blipFill>
                        <pic:spPr>
                          <a:xfrm>
                            <a:off x="0" y="0"/>
                            <a:ext cx="1005840" cy="1005840"/>
                          </a:xfrm>
                          <a:prstGeom prst="rect">
                            <a:avLst/>
                          </a:prstGeom>
                        </pic:spPr>
                      </pic:pic>
                    </a:graphicData>
                  </a:graphic>
                </wp:inline>
              </w:drawing>
            </w:r>
          </w:p>
        </w:tc>
        <w:tc>
          <w:tcPr>
            <w:tcW w:w="8856" w:type="dxa"/>
            <w:tcBorders>
              <w:top w:val="single" w:sz="10" w:space="0" w:color="E86811"/>
              <w:left w:val="single" w:sz="10" w:space="0" w:color="E86811"/>
              <w:bottom w:val="single" w:sz="10" w:space="0" w:color="E86811"/>
              <w:right w:val="single" w:sz="10" w:space="0" w:color="E86811"/>
            </w:tcBorders>
            <w:shd w:val="clear" w:color="auto" w:fill="F9F6F1"/>
            <w:vAlign w:val="center"/>
          </w:tcPr>
          <w:p w14:paraId="76FDA60E" w14:textId="77777777" w:rsidR="00B70D43" w:rsidRDefault="00946FF4" w:rsidP="009C7891">
            <w:pPr>
              <w:spacing w:after="0" w:line="240" w:lineRule="auto"/>
              <w:jc w:val="center"/>
            </w:pPr>
            <w:r>
              <w:rPr>
                <w:rFonts w:ascii="Aptos" w:hAnsi="Aptos"/>
                <w:b/>
                <w:color w:val="E86811"/>
              </w:rPr>
              <w:t>MICRO EXAMPLE:</w:t>
            </w:r>
            <w:r>
              <w:rPr>
                <w:rFonts w:ascii="Aptos" w:hAnsi="Aptos"/>
                <w:b/>
                <w:color w:val="E86811"/>
              </w:rPr>
              <w:br/>
            </w:r>
            <w:r>
              <w:rPr>
                <w:rFonts w:ascii="Aptos" w:hAnsi="Aptos"/>
                <w:b/>
              </w:rPr>
              <w:t>An engineering agent may generate a clean code change, but the work should not move toward merge until scope, testing expectations, security impact, and approval authority have been validated. The output may be complete while the execution path is not ready.</w:t>
            </w:r>
          </w:p>
        </w:tc>
      </w:tr>
    </w:tbl>
    <w:p w14:paraId="6A373547" w14:textId="77777777" w:rsidR="009C7891" w:rsidRDefault="009C7891">
      <w:pPr>
        <w:spacing w:after="160" w:line="259" w:lineRule="auto"/>
        <w:rPr>
          <w:rFonts w:ascii="Aptos" w:hAnsi="Aptos"/>
        </w:rPr>
      </w:pPr>
    </w:p>
    <w:p w14:paraId="353F1364" w14:textId="35571E6E" w:rsidR="00B70D43" w:rsidRPr="00D16017" w:rsidRDefault="00946FF4">
      <w:pPr>
        <w:spacing w:after="160" w:line="259" w:lineRule="auto"/>
      </w:pPr>
      <w:r w:rsidRPr="00D16017">
        <w:rPr>
          <w:rFonts w:ascii="Aptos" w:hAnsi="Aptos"/>
        </w:rPr>
        <w:t xml:space="preserve">The EU AI Act also supports the need for lifecycle control. Article 9 describes a risk management system for </w:t>
      </w:r>
      <w:proofErr w:type="gramStart"/>
      <w:r w:rsidRPr="00D16017">
        <w:rPr>
          <w:rFonts w:ascii="Aptos" w:hAnsi="Aptos"/>
        </w:rPr>
        <w:t>high risk</w:t>
      </w:r>
      <w:proofErr w:type="gramEnd"/>
      <w:r w:rsidRPr="00D16017">
        <w:rPr>
          <w:rFonts w:ascii="Aptos" w:hAnsi="Aptos"/>
        </w:rPr>
        <w:t xml:space="preserve"> AI systems as a continuous iterative process throughout the lifecycle of the system, requiring regular systematic review and updating. Article 14 addresses human oversight for </w:t>
      </w:r>
      <w:proofErr w:type="gramStart"/>
      <w:r w:rsidRPr="00D16017">
        <w:rPr>
          <w:rFonts w:ascii="Aptos" w:hAnsi="Aptos"/>
        </w:rPr>
        <w:t>high risk</w:t>
      </w:r>
      <w:proofErr w:type="gramEnd"/>
      <w:r w:rsidRPr="00D16017">
        <w:rPr>
          <w:rFonts w:ascii="Aptos" w:hAnsi="Aptos"/>
        </w:rPr>
        <w:t xml:space="preserve"> AI systems and expects oversight measures to prevent or minimize risks to health, safety, or fundamental rights. Those requirements apply within the Act's high risk system context, but the operating lesson is broader: control cannot exist only at the beginning of AI use. It has to continue at the points where AI influenced work moves toward consequence.</w:t>
      </w:r>
      <w:r w:rsidRPr="00D16017">
        <w:rPr>
          <w:rFonts w:ascii="Aptos" w:hAnsi="Aptos"/>
          <w:color w:val="E86811"/>
          <w:vertAlign w:val="superscript"/>
        </w:rPr>
        <w:t>2</w:t>
      </w:r>
    </w:p>
    <w:p w14:paraId="4FD7B094" w14:textId="77777777" w:rsidR="00B70D43" w:rsidRPr="00D16017" w:rsidRDefault="00946FF4">
      <w:pPr>
        <w:spacing w:after="160" w:line="259" w:lineRule="auto"/>
      </w:pPr>
      <w:r w:rsidRPr="00D16017">
        <w:rPr>
          <w:rFonts w:ascii="Aptos" w:hAnsi="Aptos"/>
        </w:rPr>
        <w:t>Readiness gates should not be designed as passive approvals. A passive approval asks whether someone looked at the work. A serious readiness gate asks whether the work is authorized to move. It checks the decision object, the intended action, the affected workflow, the authority holder, the risk classification, the trigger condition, the review requirement, and the evidence state.</w:t>
      </w:r>
    </w:p>
    <w:p w14:paraId="209E0206" w14:textId="77777777" w:rsidR="00B70D43" w:rsidRPr="00D16017" w:rsidRDefault="00946FF4">
      <w:pPr>
        <w:spacing w:after="160" w:line="259" w:lineRule="auto"/>
      </w:pPr>
      <w:r w:rsidRPr="00D16017">
        <w:rPr>
          <w:rFonts w:ascii="Aptos" w:hAnsi="Aptos"/>
        </w:rPr>
        <w:t>This is where traditional governance language can become too soft. Policy says what should happen. A readiness gate determines whether the work can proceed. Training tells users what to remember. A readiness gate records whether the correct control conditions were satisfied. A dashboard shows activity. A readiness gate tests movement before action.</w:t>
      </w:r>
    </w:p>
    <w:p w14:paraId="68C05501" w14:textId="77777777" w:rsidR="00B70D43" w:rsidRPr="00D16017" w:rsidRDefault="00946FF4">
      <w:pPr>
        <w:spacing w:after="160" w:line="259" w:lineRule="auto"/>
      </w:pPr>
      <w:r w:rsidRPr="00D16017">
        <w:rPr>
          <w:rFonts w:ascii="Aptos" w:hAnsi="Aptos"/>
        </w:rPr>
        <w:t>The OECD AI Principles connect accountability to roles, context, and traceability across datasets, processes, and decisions made during the AI system lifecycle. This supports the readiness gate argument because traceability after execution is weaker if the enterprise never captured the control state before execution. The organization needs to know who authorized movement, which condition applied, and what record existed before the work created consequence.</w:t>
      </w:r>
      <w:r w:rsidRPr="00D16017">
        <w:rPr>
          <w:rFonts w:ascii="Aptos" w:hAnsi="Aptos"/>
          <w:color w:val="E86811"/>
          <w:vertAlign w:val="superscript"/>
        </w:rPr>
        <w:t>3</w:t>
      </w:r>
    </w:p>
    <w:p w14:paraId="3589E360" w14:textId="77777777" w:rsidR="00B70D43" w:rsidRPr="00D16017" w:rsidRDefault="00946FF4">
      <w:pPr>
        <w:spacing w:after="160" w:line="259" w:lineRule="auto"/>
      </w:pPr>
      <w:r w:rsidRPr="00D16017">
        <w:rPr>
          <w:rFonts w:ascii="Aptos" w:hAnsi="Aptos"/>
        </w:rPr>
        <w:t>Readiness gates are also a defense against AI assisted scope drift. Agents can overbuild. Assistants can add plausible features. Drafting tools can insert unsupported assumptions. Workflow agents can prepare actions that look efficient but exceed authority. A readiness gate forces the enterprise to ask whether the output still matches the approved intent before it becomes execution truth.</w:t>
      </w:r>
    </w:p>
    <w:p w14:paraId="05E4B5D1" w14:textId="77777777" w:rsidR="00B70D43" w:rsidRPr="00D16017" w:rsidRDefault="00946FF4">
      <w:pPr>
        <w:spacing w:after="160" w:line="259" w:lineRule="auto"/>
      </w:pPr>
      <w:r w:rsidRPr="00D16017">
        <w:rPr>
          <w:rFonts w:ascii="Aptos" w:hAnsi="Aptos"/>
        </w:rPr>
        <w:t>This control discipline is not designed to slow capable teams. It is designed to stop unauthorized movement. Strong execution should pass through the gate quickly because scope, authority, evidence, and next action are clear. Weak execution should pause because the organization cannot defend the movement yet.</w:t>
      </w:r>
    </w:p>
    <w:p w14:paraId="321FC188" w14:textId="77777777" w:rsidR="00B70D43" w:rsidRPr="00D16017" w:rsidRDefault="00946FF4">
      <w:pPr>
        <w:spacing w:after="160" w:line="259" w:lineRule="auto"/>
      </w:pPr>
      <w:r w:rsidRPr="00D16017">
        <w:rPr>
          <w:rFonts w:ascii="Aptos" w:hAnsi="Aptos"/>
        </w:rPr>
        <w:lastRenderedPageBreak/>
        <w:t>Decision Governance should treat readiness gates as a core operating mechanism for AI assisted execution. The governed question is not whether AI produced something useful. The governed question is whether the output is permitted to move into business action under the enterprise's authority model.</w:t>
      </w:r>
    </w:p>
    <w:p w14:paraId="07505780" w14:textId="77777777" w:rsidR="00B70D43" w:rsidRPr="00D16017" w:rsidRDefault="00946FF4">
      <w:pPr>
        <w:spacing w:after="160" w:line="259" w:lineRule="auto"/>
      </w:pPr>
      <w:r w:rsidRPr="00D16017">
        <w:rPr>
          <w:rFonts w:ascii="Aptos" w:hAnsi="Aptos"/>
        </w:rPr>
        <w:t xml:space="preserve">The next </w:t>
      </w:r>
      <w:proofErr w:type="gramStart"/>
      <w:r w:rsidRPr="00D16017">
        <w:rPr>
          <w:rFonts w:ascii="Aptos" w:hAnsi="Aptos"/>
        </w:rPr>
        <w:t>control frontier</w:t>
      </w:r>
      <w:proofErr w:type="gramEnd"/>
      <w:r w:rsidRPr="00D16017">
        <w:rPr>
          <w:rFonts w:ascii="Aptos" w:hAnsi="Aptos"/>
        </w:rPr>
        <w:t xml:space="preserve"> is not faster AI output. It is controlled movement from AI assisted work into authorized execution. Readiness gates create that boundary.</w:t>
      </w:r>
    </w:p>
    <w:tbl>
      <w:tblPr>
        <w:tblW w:w="0" w:type="auto"/>
        <w:jc w:val="center"/>
        <w:tblLayout w:type="fixed"/>
        <w:tblLook w:val="04A0" w:firstRow="1" w:lastRow="0" w:firstColumn="1" w:lastColumn="0" w:noHBand="0" w:noVBand="1"/>
      </w:tblPr>
      <w:tblGrid>
        <w:gridCol w:w="1800"/>
        <w:gridCol w:w="8856"/>
      </w:tblGrid>
      <w:tr w:rsidR="00B70D43" w14:paraId="4EA20ACD" w14:textId="77777777" w:rsidTr="009C7891">
        <w:trPr>
          <w:jc w:val="center"/>
        </w:trPr>
        <w:tc>
          <w:tcPr>
            <w:tcW w:w="1800" w:type="dxa"/>
            <w:tcBorders>
              <w:top w:val="single" w:sz="12" w:space="0" w:color="E86811"/>
              <w:left w:val="single" w:sz="12" w:space="0" w:color="E86811"/>
              <w:bottom w:val="single" w:sz="12" w:space="0" w:color="E86811"/>
              <w:right w:val="single" w:sz="12" w:space="0" w:color="E86811"/>
            </w:tcBorders>
            <w:shd w:val="clear" w:color="auto" w:fill="0B1012"/>
            <w:vAlign w:val="center"/>
          </w:tcPr>
          <w:p w14:paraId="30397BDA" w14:textId="77777777" w:rsidR="00B70D43" w:rsidRDefault="00946FF4" w:rsidP="009C7891">
            <w:r>
              <w:rPr>
                <w:noProof/>
              </w:rPr>
              <w:drawing>
                <wp:inline distT="0" distB="0" distL="0" distR="0" wp14:anchorId="52FDBB61" wp14:editId="6B0A6661">
                  <wp:extent cx="1005840" cy="1005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l_logo17_for_tables.png"/>
                          <pic:cNvPicPr/>
                        </pic:nvPicPr>
                        <pic:blipFill>
                          <a:blip r:embed="rId9"/>
                          <a:stretch>
                            <a:fillRect/>
                          </a:stretch>
                        </pic:blipFill>
                        <pic:spPr>
                          <a:xfrm>
                            <a:off x="0" y="0"/>
                            <a:ext cx="1005840" cy="1005840"/>
                          </a:xfrm>
                          <a:prstGeom prst="rect">
                            <a:avLst/>
                          </a:prstGeom>
                        </pic:spPr>
                      </pic:pic>
                    </a:graphicData>
                  </a:graphic>
                </wp:inline>
              </w:drawing>
            </w:r>
          </w:p>
        </w:tc>
        <w:tc>
          <w:tcPr>
            <w:tcW w:w="8856" w:type="dxa"/>
            <w:tcBorders>
              <w:top w:val="single" w:sz="12" w:space="0" w:color="E86811"/>
              <w:left w:val="single" w:sz="12" w:space="0" w:color="E86811"/>
              <w:bottom w:val="single" w:sz="12" w:space="0" w:color="E86811"/>
              <w:right w:val="single" w:sz="12" w:space="0" w:color="E86811"/>
            </w:tcBorders>
            <w:shd w:val="clear" w:color="auto" w:fill="F9F6F1"/>
            <w:vAlign w:val="center"/>
          </w:tcPr>
          <w:p w14:paraId="2851366F" w14:textId="77777777" w:rsidR="00B70D43" w:rsidRDefault="00946FF4" w:rsidP="009C7891">
            <w:pPr>
              <w:spacing w:after="0" w:line="240" w:lineRule="auto"/>
              <w:jc w:val="center"/>
            </w:pPr>
            <w:r>
              <w:rPr>
                <w:rFonts w:ascii="Aptos" w:hAnsi="Aptos"/>
                <w:b/>
                <w:color w:val="E86811"/>
              </w:rPr>
              <w:t>CATEGORY CLAIM:</w:t>
            </w:r>
            <w:r>
              <w:rPr>
                <w:rFonts w:ascii="Aptos" w:hAnsi="Aptos"/>
                <w:b/>
                <w:color w:val="E86811"/>
              </w:rPr>
              <w:br/>
            </w:r>
            <w:r>
              <w:rPr>
                <w:rFonts w:ascii="Aptos" w:hAnsi="Aptos"/>
                <w:b/>
              </w:rPr>
              <w:t>Readiness gates are required because AI assisted work should not move into execution until scope, authority, controls, and evidence are validated.</w:t>
            </w:r>
          </w:p>
        </w:tc>
      </w:tr>
    </w:tbl>
    <w:p w14:paraId="39854971" w14:textId="77777777" w:rsidR="00B70D43" w:rsidRPr="00D16017" w:rsidRDefault="00946FF4">
      <w:pPr>
        <w:spacing w:before="320" w:after="160"/>
        <w:rPr>
          <w:rFonts w:ascii="Georgia" w:hAnsi="Georgia"/>
        </w:rPr>
      </w:pPr>
      <w:r w:rsidRPr="00D16017">
        <w:rPr>
          <w:rFonts w:ascii="Georgia" w:hAnsi="Georgia"/>
          <w:b/>
          <w:color w:val="E86811"/>
          <w:sz w:val="44"/>
        </w:rPr>
        <w:t>Source Notes</w:t>
      </w:r>
    </w:p>
    <w:p w14:paraId="495F4E44" w14:textId="77777777" w:rsidR="00B70D43" w:rsidRPr="00D16017" w:rsidRDefault="00946FF4">
      <w:pPr>
        <w:spacing w:after="80" w:line="240" w:lineRule="auto"/>
        <w:rPr>
          <w:sz w:val="18"/>
          <w:szCs w:val="18"/>
        </w:rPr>
      </w:pPr>
      <w:r w:rsidRPr="00D16017">
        <w:rPr>
          <w:rFonts w:ascii="Aptos" w:hAnsi="Aptos"/>
          <w:b/>
          <w:color w:val="E86811"/>
          <w:sz w:val="18"/>
          <w:szCs w:val="18"/>
        </w:rPr>
        <w:t xml:space="preserve">1. </w:t>
      </w:r>
      <w:r w:rsidRPr="00D16017">
        <w:rPr>
          <w:rFonts w:ascii="Aptos" w:hAnsi="Aptos"/>
          <w:sz w:val="18"/>
          <w:szCs w:val="18"/>
        </w:rPr>
        <w:t>NIST AI Risk Management Framework. The AI RMF Core is organized around Govern, Map, Measure, and Manage. NIST states that Govern applies to all stages of organizational AI risk management processes and procedures. Source: https://nvlpubs.nist.gov/nistpubs/ai/nist.ai.100-1.pdf</w:t>
      </w:r>
    </w:p>
    <w:p w14:paraId="684A54DA" w14:textId="77777777" w:rsidR="00B70D43" w:rsidRPr="00D16017" w:rsidRDefault="00946FF4">
      <w:pPr>
        <w:spacing w:after="80" w:line="240" w:lineRule="auto"/>
        <w:rPr>
          <w:sz w:val="18"/>
          <w:szCs w:val="18"/>
        </w:rPr>
      </w:pPr>
      <w:r w:rsidRPr="00D16017">
        <w:rPr>
          <w:rFonts w:ascii="Aptos" w:hAnsi="Aptos"/>
          <w:b/>
          <w:color w:val="E86811"/>
          <w:sz w:val="18"/>
          <w:szCs w:val="18"/>
        </w:rPr>
        <w:t xml:space="preserve">2. </w:t>
      </w:r>
      <w:r w:rsidRPr="00D16017">
        <w:rPr>
          <w:rFonts w:ascii="Aptos" w:hAnsi="Aptos"/>
          <w:sz w:val="18"/>
          <w:szCs w:val="18"/>
        </w:rPr>
        <w:t xml:space="preserve">EU AI Act, Articles 9 and 14. Article 9 describes the risk management system for </w:t>
      </w:r>
      <w:proofErr w:type="gramStart"/>
      <w:r w:rsidRPr="00D16017">
        <w:rPr>
          <w:rFonts w:ascii="Aptos" w:hAnsi="Aptos"/>
          <w:sz w:val="18"/>
          <w:szCs w:val="18"/>
        </w:rPr>
        <w:t>high risk</w:t>
      </w:r>
      <w:proofErr w:type="gramEnd"/>
      <w:r w:rsidRPr="00D16017">
        <w:rPr>
          <w:rFonts w:ascii="Aptos" w:hAnsi="Aptos"/>
          <w:sz w:val="18"/>
          <w:szCs w:val="18"/>
        </w:rPr>
        <w:t xml:space="preserve"> AI systems as a continuous iterative process throughout the lifecycle. Article 14 addresses human oversight for </w:t>
      </w:r>
      <w:proofErr w:type="gramStart"/>
      <w:r w:rsidRPr="00D16017">
        <w:rPr>
          <w:rFonts w:ascii="Aptos" w:hAnsi="Aptos"/>
          <w:sz w:val="18"/>
          <w:szCs w:val="18"/>
        </w:rPr>
        <w:t>high risk</w:t>
      </w:r>
      <w:proofErr w:type="gramEnd"/>
      <w:r w:rsidRPr="00D16017">
        <w:rPr>
          <w:rFonts w:ascii="Aptos" w:hAnsi="Aptos"/>
          <w:sz w:val="18"/>
          <w:szCs w:val="18"/>
        </w:rPr>
        <w:t xml:space="preserve"> AI systems and states that oversight measures should aim to prevent or minimise risks. Sources: https://artificialintelligenceact.eu/article/9/ and https://artificialintelligenceact.eu/article/14/</w:t>
      </w:r>
    </w:p>
    <w:p w14:paraId="06A61A59" w14:textId="77777777" w:rsidR="00B70D43" w:rsidRPr="00D16017" w:rsidRDefault="00946FF4">
      <w:pPr>
        <w:spacing w:after="80" w:line="240" w:lineRule="auto"/>
        <w:rPr>
          <w:sz w:val="18"/>
          <w:szCs w:val="18"/>
        </w:rPr>
      </w:pPr>
      <w:r w:rsidRPr="00D16017">
        <w:rPr>
          <w:rFonts w:ascii="Aptos" w:hAnsi="Aptos"/>
          <w:b/>
          <w:color w:val="E86811"/>
          <w:sz w:val="18"/>
          <w:szCs w:val="18"/>
        </w:rPr>
        <w:t xml:space="preserve">3. </w:t>
      </w:r>
      <w:r w:rsidRPr="00D16017">
        <w:rPr>
          <w:rFonts w:ascii="Aptos" w:hAnsi="Aptos"/>
          <w:sz w:val="18"/>
          <w:szCs w:val="18"/>
        </w:rPr>
        <w:t>OECD AI Principles. Accountability includes traceability in relation to datasets, processes, and decisions made during the AI system lifecycle. Source: https://www.oecd.org/en/topics/sub-issues/ai-principles.html</w:t>
      </w:r>
    </w:p>
    <w:p w14:paraId="66C7618A" w14:textId="77777777" w:rsidR="00E74021" w:rsidRPr="0009179E" w:rsidRDefault="00E74021" w:rsidP="00E74021">
      <w:pPr>
        <w:spacing w:after="0" w:line="240" w:lineRule="auto"/>
        <w:rPr>
          <w:rFonts w:ascii="Aptos" w:hAnsi="Aptos"/>
          <w:sz w:val="18"/>
          <w:szCs w:val="18"/>
        </w:rPr>
      </w:pPr>
      <w:r w:rsidRPr="0009179E">
        <w:rPr>
          <w:rFonts w:ascii="Aptos" w:hAnsi="Aptos"/>
          <w:b/>
          <w:color w:val="FF6A00"/>
          <w:sz w:val="18"/>
          <w:szCs w:val="18"/>
        </w:rPr>
        <w:t xml:space="preserve">Prepared for: </w:t>
      </w:r>
      <w:r w:rsidRPr="0009179E">
        <w:rPr>
          <w:rFonts w:ascii="Aptos" w:hAnsi="Aptos"/>
          <w:color w:val="090D0F"/>
          <w:sz w:val="18"/>
          <w:szCs w:val="18"/>
        </w:rPr>
        <w:t xml:space="preserve">Kevin Moore, Founder, </w:t>
      </w:r>
      <w:proofErr w:type="spellStart"/>
      <w:r w:rsidRPr="0009179E">
        <w:rPr>
          <w:rFonts w:ascii="Aptos" w:hAnsi="Aptos"/>
          <w:color w:val="090D0F"/>
          <w:sz w:val="18"/>
          <w:szCs w:val="18"/>
        </w:rPr>
        <w:t>Jochanni</w:t>
      </w:r>
      <w:proofErr w:type="spellEnd"/>
      <w:r w:rsidRPr="0009179E">
        <w:rPr>
          <w:rFonts w:ascii="Aptos" w:hAnsi="Aptos"/>
          <w:color w:val="090D0F"/>
          <w:sz w:val="18"/>
          <w:szCs w:val="18"/>
        </w:rPr>
        <w:t xml:space="preserve"> Labs</w:t>
      </w:r>
    </w:p>
    <w:p w14:paraId="09F5CF78" w14:textId="77777777" w:rsidR="00E74021" w:rsidRPr="0009179E" w:rsidRDefault="00E74021" w:rsidP="00E74021">
      <w:pPr>
        <w:spacing w:after="0" w:line="240" w:lineRule="auto"/>
        <w:rPr>
          <w:rFonts w:ascii="Aptos" w:hAnsi="Aptos"/>
          <w:sz w:val="18"/>
          <w:szCs w:val="18"/>
        </w:rPr>
      </w:pPr>
      <w:r w:rsidRPr="0009179E">
        <w:rPr>
          <w:rFonts w:ascii="Aptos" w:hAnsi="Aptos"/>
          <w:b/>
          <w:color w:val="FF6A00"/>
          <w:sz w:val="18"/>
          <w:szCs w:val="18"/>
        </w:rPr>
        <w:t>Publication series: Decision Governance Strategic Intelligence Series</w:t>
      </w:r>
    </w:p>
    <w:p w14:paraId="2D4D7212" w14:textId="01C7BDC2" w:rsidR="00B70D43" w:rsidRDefault="00B70D43" w:rsidP="00E74021">
      <w:pPr>
        <w:spacing w:before="120"/>
      </w:pPr>
    </w:p>
    <w:sectPr w:rsidR="00B70D43" w:rsidSect="00034616">
      <w:headerReference w:type="default" r:id="rId10"/>
      <w:footerReference w:type="default" r:id="rId11"/>
      <w:pgSz w:w="12240" w:h="15840"/>
      <w:pgMar w:top="576" w:right="792" w:bottom="648"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4F28A" w14:textId="77777777" w:rsidR="00663268" w:rsidRDefault="00663268">
      <w:pPr>
        <w:spacing w:after="0" w:line="240" w:lineRule="auto"/>
      </w:pPr>
      <w:r>
        <w:separator/>
      </w:r>
    </w:p>
  </w:endnote>
  <w:endnote w:type="continuationSeparator" w:id="0">
    <w:p w14:paraId="537342F4" w14:textId="77777777" w:rsidR="00663268" w:rsidRDefault="006632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BCA99" w14:textId="77777777" w:rsidR="00B70D43" w:rsidRDefault="00946FF4">
    <w:pPr>
      <w:pStyle w:val="Footer"/>
      <w:jc w:val="center"/>
    </w:pPr>
    <w:r>
      <w:rPr>
        <w:rFonts w:ascii="Aptos" w:hAnsi="Aptos"/>
        <w:color w:val="787878"/>
        <w:sz w:val="16"/>
      </w:rPr>
      <w:t>Why Readiness Gates Are Required Before AI Assisted Execution.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F8505" w14:textId="77777777" w:rsidR="00663268" w:rsidRDefault="00663268">
      <w:pPr>
        <w:spacing w:after="0" w:line="240" w:lineRule="auto"/>
      </w:pPr>
      <w:r>
        <w:separator/>
      </w:r>
    </w:p>
  </w:footnote>
  <w:footnote w:type="continuationSeparator" w:id="0">
    <w:p w14:paraId="270FE4FA" w14:textId="77777777" w:rsidR="00663268" w:rsidRDefault="006632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00F81" w14:textId="77777777" w:rsidR="00B70D43" w:rsidRDefault="00946FF4">
    <w:pPr>
      <w:pStyle w:val="Header"/>
      <w:jc w:val="right"/>
    </w:pPr>
    <w:proofErr w:type="spellStart"/>
    <w:r>
      <w:rPr>
        <w:rFonts w:ascii="Aptos" w:hAnsi="Aptos"/>
        <w:b/>
        <w:color w:val="E86811"/>
        <w:sz w:val="18"/>
      </w:rPr>
      <w:t>Jochanni</w:t>
    </w:r>
    <w:proofErr w:type="spellEnd"/>
    <w:r>
      <w:rPr>
        <w:rFonts w:ascii="Aptos" w:hAnsi="Aptos"/>
        <w:b/>
        <w:color w:val="E86811"/>
        <w:sz w:val="18"/>
      </w:rPr>
      <w:t xml:space="preserve"> Labs  |  Decision Governance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8544776">
    <w:abstractNumId w:val="8"/>
  </w:num>
  <w:num w:numId="2" w16cid:durableId="1729106035">
    <w:abstractNumId w:val="6"/>
  </w:num>
  <w:num w:numId="3" w16cid:durableId="1312636280">
    <w:abstractNumId w:val="5"/>
  </w:num>
  <w:num w:numId="4" w16cid:durableId="103309118">
    <w:abstractNumId w:val="4"/>
  </w:num>
  <w:num w:numId="5" w16cid:durableId="50926601">
    <w:abstractNumId w:val="7"/>
  </w:num>
  <w:num w:numId="6" w16cid:durableId="1268545122">
    <w:abstractNumId w:val="3"/>
  </w:num>
  <w:num w:numId="7" w16cid:durableId="1290548740">
    <w:abstractNumId w:val="2"/>
  </w:num>
  <w:num w:numId="8" w16cid:durableId="794636310">
    <w:abstractNumId w:val="1"/>
  </w:num>
  <w:num w:numId="9" w16cid:durableId="1346589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676B"/>
    <w:rsid w:val="00326F90"/>
    <w:rsid w:val="00663268"/>
    <w:rsid w:val="00943EC2"/>
    <w:rsid w:val="00946FF4"/>
    <w:rsid w:val="009C7891"/>
    <w:rsid w:val="00AA1D8D"/>
    <w:rsid w:val="00B47730"/>
    <w:rsid w:val="00B70D43"/>
    <w:rsid w:val="00CB0664"/>
    <w:rsid w:val="00D16017"/>
    <w:rsid w:val="00E740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B510A1"/>
  <w14:defaultImageDpi w14:val="300"/>
  <w15:docId w15:val="{DC1DA09A-6D28-45EC-B6E8-1744211AC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1217</Words>
  <Characters>6939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Moore</cp:lastModifiedBy>
  <cp:revision>3</cp:revision>
  <dcterms:created xsi:type="dcterms:W3CDTF">2026-05-11T21:18:00Z</dcterms:created>
  <dcterms:modified xsi:type="dcterms:W3CDTF">2026-05-11T21:46:00Z</dcterms:modified>
  <cp:category/>
</cp:coreProperties>
</file>