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4C86" w14:textId="77777777" w:rsidR="00C61764" w:rsidRDefault="00104129">
      <w:pPr>
        <w:spacing w:after="240"/>
        <w:jc w:val="center"/>
      </w:pPr>
      <w:r>
        <w:rPr>
          <w:noProof/>
        </w:rPr>
        <w:drawing>
          <wp:inline distT="0" distB="0" distL="0" distR="0" wp14:anchorId="06435957" wp14:editId="42702104">
            <wp:extent cx="6756400" cy="134366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letter18_hero.png"/>
                    <pic:cNvPicPr/>
                  </pic:nvPicPr>
                  <pic:blipFill>
                    <a:blip r:embed="rId8"/>
                    <a:stretch>
                      <a:fillRect/>
                    </a:stretch>
                  </pic:blipFill>
                  <pic:spPr>
                    <a:xfrm>
                      <a:off x="0" y="0"/>
                      <a:ext cx="6758955"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C61764" w14:paraId="28087E57"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5E29E86" w14:textId="77777777" w:rsidR="00C61764" w:rsidRDefault="00104129">
            <w:pPr>
              <w:spacing w:after="40"/>
              <w:jc w:val="center"/>
            </w:pPr>
            <w:r>
              <w:rPr>
                <w:rFonts w:ascii="Aptos" w:hAnsi="Aptos"/>
                <w:b/>
                <w:color w:val="E86811"/>
                <w:sz w:val="20"/>
              </w:rPr>
              <w:t>ESTIMATED READ TIME</w:t>
            </w:r>
            <w:r>
              <w:rPr>
                <w:rFonts w:ascii="Aptos" w:hAnsi="Aptos"/>
                <w:b/>
                <w:color w:val="E86811"/>
                <w:sz w:val="20"/>
              </w:rPr>
              <w:br/>
            </w:r>
            <w:r>
              <w:rPr>
                <w:rFonts w:ascii="Aptos" w:hAnsi="Aptos"/>
                <w:b/>
                <w:sz w:val="24"/>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1E85F75" w14:textId="77777777" w:rsidR="00C61764" w:rsidRDefault="00104129">
            <w:pPr>
              <w:spacing w:after="40"/>
              <w:jc w:val="center"/>
            </w:pPr>
            <w:r>
              <w:rPr>
                <w:rFonts w:ascii="Aptos" w:hAnsi="Aptos"/>
                <w:b/>
                <w:color w:val="E86811"/>
                <w:sz w:val="20"/>
              </w:rPr>
              <w:t>APPROXIMATE WORD COUNT</w:t>
            </w:r>
            <w:r>
              <w:rPr>
                <w:rFonts w:ascii="Aptos" w:hAnsi="Aptos"/>
                <w:b/>
                <w:color w:val="E86811"/>
                <w:sz w:val="20"/>
              </w:rPr>
              <w:br/>
            </w:r>
            <w:r>
              <w:rPr>
                <w:rFonts w:ascii="Aptos" w:hAnsi="Aptos"/>
                <w:b/>
                <w:sz w:val="24"/>
              </w:rPr>
              <w:t>880 words</w:t>
            </w:r>
          </w:p>
        </w:tc>
        <w:tc>
          <w:tcPr>
            <w:tcW w:w="3552"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0AA2F11C" w14:textId="77777777" w:rsidR="00C61764" w:rsidRDefault="00104129">
            <w:pPr>
              <w:spacing w:after="40"/>
              <w:jc w:val="center"/>
            </w:pPr>
            <w:r>
              <w:rPr>
                <w:rFonts w:ascii="Aptos" w:hAnsi="Aptos"/>
                <w:b/>
                <w:color w:val="E86811"/>
                <w:sz w:val="20"/>
              </w:rPr>
              <w:t>PURPOSE</w:t>
            </w:r>
            <w:r>
              <w:rPr>
                <w:rFonts w:ascii="Aptos" w:hAnsi="Aptos"/>
                <w:b/>
                <w:color w:val="E86811"/>
                <w:sz w:val="20"/>
              </w:rPr>
              <w:br/>
            </w:r>
            <w:r>
              <w:rPr>
                <w:rFonts w:ascii="Aptos" w:hAnsi="Aptos"/>
                <w:b/>
                <w:sz w:val="24"/>
              </w:rPr>
              <w:t>Thought leadership essay</w:t>
            </w:r>
          </w:p>
        </w:tc>
      </w:tr>
    </w:tbl>
    <w:tbl>
      <w:tblPr>
        <w:tblW w:w="0" w:type="auto"/>
        <w:jc w:val="center"/>
        <w:tblLook w:val="04A0" w:firstRow="1" w:lastRow="0" w:firstColumn="1" w:lastColumn="0" w:noHBand="0" w:noVBand="1"/>
      </w:tblPr>
      <w:tblGrid>
        <w:gridCol w:w="10616"/>
      </w:tblGrid>
      <w:tr w:rsidR="00C61764" w14:paraId="7BDDA626" w14:textId="77777777" w:rsidTr="004E73C0">
        <w:trPr>
          <w:trHeight w:val="1193"/>
          <w:jc w:val="center"/>
        </w:trPr>
        <w:tc>
          <w:tcPr>
            <w:tcW w:w="10656" w:type="dxa"/>
            <w:tcBorders>
              <w:top w:val="single" w:sz="16" w:space="0" w:color="E86811"/>
              <w:left w:val="single" w:sz="16" w:space="0" w:color="E86811"/>
              <w:bottom w:val="single" w:sz="16" w:space="0" w:color="E86811"/>
              <w:right w:val="single" w:sz="16" w:space="0" w:color="E86811"/>
            </w:tcBorders>
            <w:shd w:val="clear" w:color="auto" w:fill="0B1012"/>
          </w:tcPr>
          <w:p w14:paraId="68E387CD" w14:textId="77777777" w:rsidR="00C61764" w:rsidRDefault="00104129" w:rsidP="00076347">
            <w:pPr>
              <w:spacing w:after="0" w:line="240" w:lineRule="auto"/>
              <w:jc w:val="center"/>
            </w:pPr>
            <w:r>
              <w:rPr>
                <w:rFonts w:ascii="Aptos" w:hAnsi="Aptos"/>
                <w:b/>
                <w:color w:val="E86811"/>
              </w:rPr>
              <w:t>Core position:</w:t>
            </w:r>
            <w:r>
              <w:rPr>
                <w:rFonts w:ascii="Aptos" w:hAnsi="Aptos"/>
                <w:b/>
                <w:color w:val="E86811"/>
              </w:rPr>
              <w:br/>
            </w:r>
            <w:proofErr w:type="spellStart"/>
            <w:r>
              <w:rPr>
                <w:rFonts w:ascii="Aptos" w:hAnsi="Aptos"/>
                <w:b/>
                <w:color w:val="FFFFFF"/>
                <w:sz w:val="24"/>
              </w:rPr>
              <w:t>Jochanni</w:t>
            </w:r>
            <w:proofErr w:type="spellEnd"/>
            <w:r>
              <w:rPr>
                <w:rFonts w:ascii="Aptos" w:hAnsi="Aptos"/>
                <w:b/>
                <w:color w:val="FFFFFF"/>
                <w:sz w:val="24"/>
              </w:rPr>
              <w:t xml:space="preserve"> Labs cannot sound like a generic AI governance vendor because the company is defining Decision Governance as an authority, consequence, and evidence category, not selling another policy or dashboard layer.</w:t>
            </w:r>
          </w:p>
        </w:tc>
      </w:tr>
    </w:tbl>
    <w:p w14:paraId="013C087A" w14:textId="77777777" w:rsidR="00C61764" w:rsidRPr="00076347" w:rsidRDefault="00104129">
      <w:pPr>
        <w:spacing w:before="320" w:after="160"/>
        <w:rPr>
          <w:rFonts w:ascii="Georgia" w:hAnsi="Georgia"/>
        </w:rPr>
      </w:pPr>
      <w:r w:rsidRPr="00076347">
        <w:rPr>
          <w:rFonts w:ascii="Georgia" w:hAnsi="Georgia"/>
          <w:b/>
          <w:color w:val="E86811"/>
          <w:sz w:val="44"/>
        </w:rPr>
        <w:t>Essay</w:t>
      </w:r>
    </w:p>
    <w:p w14:paraId="771DEFC8" w14:textId="77777777" w:rsidR="00C61764" w:rsidRPr="00076347" w:rsidRDefault="00104129">
      <w:pPr>
        <w:spacing w:after="160" w:line="259" w:lineRule="auto"/>
      </w:pPr>
      <w:r w:rsidRPr="00076347">
        <w:rPr>
          <w:rFonts w:ascii="Aptos" w:hAnsi="Aptos"/>
          <w:b/>
        </w:rPr>
        <w:t>Jochanni Labs loses strategic force if it sounds like a generic AI governance vendor. The market already has enough vendors saying they help organizations manage AI risk, improve compliance posture, centralize policy, inventory models, monitor usage, or prepare documentation. Those statements may be accurate for the companies making them, yet they place the speaker inside an existing vendor category. Jochanni Labs should not enter the market as another voice repeating the same approved language.</w:t>
      </w:r>
    </w:p>
    <w:p w14:paraId="5284C617" w14:textId="77777777" w:rsidR="00C61764" w:rsidRPr="00076347" w:rsidRDefault="00104129">
      <w:pPr>
        <w:spacing w:after="160" w:line="259" w:lineRule="auto"/>
      </w:pPr>
      <w:r w:rsidRPr="00076347">
        <w:rPr>
          <w:rFonts w:ascii="Aptos" w:hAnsi="Aptos"/>
        </w:rPr>
        <w:t>The opportunity is stronger than that. Jochanni Labs is not trying to sound safer inside the current AI governance conversation. It is defining the missing category around decision authority, consequence, runtime control, escalation, override, drift, and evidence. Generic AI governance language starts with the system. Decision Governance starts with the decision path that AI begins to shape.</w:t>
      </w:r>
    </w:p>
    <w:p w14:paraId="4AB03E17" w14:textId="77777777" w:rsidR="00C61764" w:rsidRPr="00076347" w:rsidRDefault="00104129">
      <w:pPr>
        <w:spacing w:after="160" w:line="259" w:lineRule="auto"/>
      </w:pPr>
      <w:r w:rsidRPr="00076347">
        <w:rPr>
          <w:rFonts w:ascii="Aptos" w:hAnsi="Aptos"/>
        </w:rPr>
        <w:t>Public frameworks already give enterprises a legitimate risk management foundation. NIST's AI Risk Management Framework organizes AI risk management through Govern, Map, Measure, and Manage functions. The structure helps organizations create governance, understand context, assess risk, and manage AI over time. Jochanni Labs should respect that foundation without copying the market language built around it.</w:t>
      </w:r>
      <w:r w:rsidRPr="00076347">
        <w:rPr>
          <w:rFonts w:ascii="Aptos" w:hAnsi="Aptos"/>
          <w:color w:val="E86811"/>
          <w:vertAlign w:val="superscript"/>
        </w:rPr>
        <w:t>1</w:t>
      </w:r>
    </w:p>
    <w:p w14:paraId="664ADB1C" w14:textId="77777777" w:rsidR="00C61764" w:rsidRPr="00076347" w:rsidRDefault="00104129">
      <w:pPr>
        <w:spacing w:after="160" w:line="259" w:lineRule="auto"/>
      </w:pPr>
      <w:r w:rsidRPr="00076347">
        <w:rPr>
          <w:rFonts w:ascii="Aptos" w:hAnsi="Aptos"/>
        </w:rPr>
        <w:t>The category gap appears after those frameworks become internal process. An enterprise may have a model inventory, AI policy, use case review, oversight committee, compliance tracker, and dashboard. It can still lack proof that an AI influenced decision path was authorized before action moved forward. This is where generic AI governance language runs out of force. It describes governance posture. It does not automatically establish authority at the point of consequence.</w:t>
      </w:r>
    </w:p>
    <w:p w14:paraId="60C4AA72" w14:textId="77777777" w:rsidR="00C61764" w:rsidRPr="00076347" w:rsidRDefault="00104129">
      <w:pPr>
        <w:spacing w:after="160" w:line="259" w:lineRule="auto"/>
      </w:pPr>
      <w:r w:rsidRPr="00076347">
        <w:rPr>
          <w:rFonts w:ascii="Aptos" w:hAnsi="Aptos"/>
        </w:rPr>
        <w:t>A generic vendor tells the buyer it can improve governance visibility. Jochanni Labs should tell the buyer that visibility is not enough when AI shaped work can move into business action without a named authority path. A generic vendor speaks about responsible AI adoption. Jochanni Labs should speak about whether the enterprise can prove who authorized AI influenced movement before consequence was created.</w:t>
      </w:r>
    </w:p>
    <w:p w14:paraId="73CBB91E" w14:textId="77777777" w:rsidR="00C61764" w:rsidRPr="00076347" w:rsidRDefault="00104129">
      <w:pPr>
        <w:spacing w:after="160" w:line="259" w:lineRule="auto"/>
      </w:pPr>
      <w:r w:rsidRPr="00076347">
        <w:rPr>
          <w:rFonts w:ascii="Aptos" w:hAnsi="Aptos"/>
        </w:rPr>
        <w:t>This is the difference between vendor positioning and category authorship. Vendor positioning tries to be understandable inside the buyer's current language. Category authorship changes the buyer's language because the old language no longer controls the problem. If Jochanni Labs sounds like a generic AI governance vendor, it gives away the category before the market understands it.</w:t>
      </w:r>
    </w:p>
    <w:p w14:paraId="6989AEB4" w14:textId="77777777" w:rsidR="00C61764" w:rsidRPr="00076347" w:rsidRDefault="00104129">
      <w:pPr>
        <w:spacing w:after="160" w:line="259" w:lineRule="auto"/>
      </w:pPr>
      <w:r w:rsidRPr="00076347">
        <w:rPr>
          <w:rFonts w:ascii="Aptos" w:hAnsi="Aptos"/>
        </w:rPr>
        <w:lastRenderedPageBreak/>
        <w:t>The public governance conversation is already moving toward accountability, traceability, and oversight. OECD's accountability principle states that AI actors should be accountable based on their roles, context, and the state of the art, and should ensure traceability in relation to datasets, processes, and decisions made during the AI system lifecycle. This supports the Decision Governance direction because it places decisions inside the traceability conversation, not only models or datasets.</w:t>
      </w:r>
      <w:r w:rsidRPr="00076347">
        <w:rPr>
          <w:rFonts w:ascii="Aptos" w:hAnsi="Aptos"/>
          <w:color w:val="E86811"/>
          <w:vertAlign w:val="superscript"/>
        </w:rPr>
        <w:t>2</w:t>
      </w:r>
    </w:p>
    <w:p w14:paraId="62002480" w14:textId="77777777" w:rsidR="00C61764" w:rsidRPr="00076347" w:rsidRDefault="00104129">
      <w:pPr>
        <w:spacing w:after="160" w:line="259" w:lineRule="auto"/>
      </w:pPr>
      <w:r w:rsidRPr="00076347">
        <w:rPr>
          <w:rFonts w:ascii="Aptos" w:hAnsi="Aptos"/>
        </w:rPr>
        <w:t>Jochanni Labs should build from that opening, not disappear inside it. The company language should stay anchored to authority over AI influenced decisions before action moves forward. The buyer should hear control over decision movement, not another promise to simplify AI governance. The phrase AI governance is already too broad. It can mean policy, committees, model documentation, ethics, risk scoring, privacy controls, vendor management, monitoring, training, or legal readiness. Decision Governance is sharper because it names the path from AI participation to consequential action.</w:t>
      </w:r>
    </w:p>
    <w:p w14:paraId="3A853F08" w14:textId="77777777" w:rsidR="00C61764" w:rsidRPr="00076347" w:rsidRDefault="00104129">
      <w:pPr>
        <w:spacing w:after="160" w:line="259" w:lineRule="auto"/>
      </w:pPr>
      <w:r w:rsidRPr="00076347">
        <w:rPr>
          <w:rFonts w:ascii="Aptos" w:hAnsi="Aptos"/>
        </w:rPr>
        <w:t>A compliance team may say it needs better AI governance. A category author should press further and ask what the enterprise cannot prove today. Can it prove which AI output influenced a decision? Can it prove which authority holder reviewed it? Can it prove the review condition was triggered before the workflow moved? Can it prove an override was valid? Can it prove the evidence record existed before action was taken? Those questions move the conversation away from generic governance and into Decision Governance.</w:t>
      </w:r>
    </w:p>
    <w:tbl>
      <w:tblPr>
        <w:tblW w:w="0" w:type="auto"/>
        <w:jc w:val="center"/>
        <w:tblLayout w:type="fixed"/>
        <w:tblLook w:val="04A0" w:firstRow="1" w:lastRow="0" w:firstColumn="1" w:lastColumn="0" w:noHBand="0" w:noVBand="1"/>
      </w:tblPr>
      <w:tblGrid>
        <w:gridCol w:w="1800"/>
        <w:gridCol w:w="8856"/>
      </w:tblGrid>
      <w:tr w:rsidR="00C61764" w14:paraId="5FA4CF2E" w14:textId="77777777" w:rsidTr="004E73C0">
        <w:trPr>
          <w:jc w:val="center"/>
        </w:trPr>
        <w:tc>
          <w:tcPr>
            <w:tcW w:w="1800" w:type="dxa"/>
            <w:tcBorders>
              <w:top w:val="single" w:sz="10" w:space="0" w:color="E86811"/>
              <w:left w:val="single" w:sz="10" w:space="0" w:color="E86811"/>
              <w:bottom w:val="single" w:sz="10" w:space="0" w:color="E86811"/>
              <w:right w:val="single" w:sz="10" w:space="0" w:color="E86811"/>
            </w:tcBorders>
            <w:shd w:val="clear" w:color="auto" w:fill="0B1012"/>
            <w:vAlign w:val="center"/>
          </w:tcPr>
          <w:p w14:paraId="24CFEB67" w14:textId="77777777" w:rsidR="00C61764" w:rsidRDefault="00104129" w:rsidP="004E73C0">
            <w:r>
              <w:rPr>
                <w:noProof/>
              </w:rPr>
              <w:drawing>
                <wp:inline distT="0" distB="0" distL="0" distR="0" wp14:anchorId="5255070C" wp14:editId="22FC382B">
                  <wp:extent cx="1005840" cy="1005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8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0" w:space="0" w:color="E86811"/>
              <w:left w:val="single" w:sz="10" w:space="0" w:color="E86811"/>
              <w:bottom w:val="single" w:sz="10" w:space="0" w:color="E86811"/>
              <w:right w:val="single" w:sz="10" w:space="0" w:color="E86811"/>
            </w:tcBorders>
            <w:shd w:val="clear" w:color="auto" w:fill="F9F6F1"/>
            <w:vAlign w:val="center"/>
          </w:tcPr>
          <w:p w14:paraId="57868B8F" w14:textId="77777777" w:rsidR="00C61764" w:rsidRDefault="00104129" w:rsidP="004E73C0">
            <w:pPr>
              <w:spacing w:after="0" w:line="240" w:lineRule="auto"/>
              <w:jc w:val="center"/>
            </w:pPr>
            <w:r>
              <w:rPr>
                <w:rFonts w:ascii="Aptos" w:hAnsi="Aptos"/>
                <w:b/>
                <w:color w:val="E86811"/>
              </w:rPr>
              <w:t>MICRO EXAMPLE:</w:t>
            </w:r>
            <w:r>
              <w:rPr>
                <w:rFonts w:ascii="Aptos" w:hAnsi="Aptos"/>
                <w:b/>
                <w:color w:val="E86811"/>
              </w:rPr>
              <w:br/>
            </w:r>
            <w:r>
              <w:rPr>
                <w:rFonts w:ascii="Aptos" w:hAnsi="Aptos"/>
                <w:b/>
              </w:rPr>
              <w:t>A vendor may say it helps manage AI risk. Jochanni Labs should say a customer remediation recommendation influenced by AI cannot move until authority, escalation, and evidence are validated.</w:t>
            </w:r>
          </w:p>
        </w:tc>
      </w:tr>
    </w:tbl>
    <w:p w14:paraId="45FDA502" w14:textId="77777777" w:rsidR="004E73C0" w:rsidRDefault="004E73C0">
      <w:pPr>
        <w:spacing w:after="160" w:line="259" w:lineRule="auto"/>
        <w:rPr>
          <w:rFonts w:ascii="Aptos" w:hAnsi="Aptos"/>
          <w:sz w:val="21"/>
        </w:rPr>
      </w:pPr>
    </w:p>
    <w:p w14:paraId="50ACF692" w14:textId="3E83165C" w:rsidR="00C61764" w:rsidRPr="00076347" w:rsidRDefault="00104129">
      <w:pPr>
        <w:spacing w:after="160" w:line="259" w:lineRule="auto"/>
      </w:pPr>
      <w:r w:rsidRPr="00076347">
        <w:rPr>
          <w:rFonts w:ascii="Aptos" w:hAnsi="Aptos"/>
        </w:rPr>
        <w:t>The EU AI Act also shows why generic language is too small for the problem. High risk AI system requirements include risk management, technical documentation, record keeping, transparency to deployers, human oversight, and related control expectations. Those requirements are not a reason for Jochanni Labs to sound like a compliance vendor. They are proof that the market is being forced to address operating controls around AI systems that can affect people, institutions, and regulated outcomes.</w:t>
      </w:r>
      <w:r w:rsidRPr="00076347">
        <w:rPr>
          <w:rFonts w:ascii="Aptos" w:hAnsi="Aptos"/>
          <w:color w:val="E86811"/>
          <w:vertAlign w:val="superscript"/>
        </w:rPr>
        <w:t>3</w:t>
      </w:r>
    </w:p>
    <w:p w14:paraId="167C173C" w14:textId="77777777" w:rsidR="00C61764" w:rsidRPr="00076347" w:rsidRDefault="00104129">
      <w:pPr>
        <w:spacing w:after="160" w:line="259" w:lineRule="auto"/>
      </w:pPr>
      <w:r w:rsidRPr="00076347">
        <w:rPr>
          <w:rFonts w:ascii="Aptos" w:hAnsi="Aptos"/>
        </w:rPr>
        <w:t xml:space="preserve">The Jochanni Labs language should be precise. The company is not selling an AI governance checklist. It is defining the operating category where AI participation, decision authority, consequence, escalation, override, and evidence converge. DAL-X is not the category. DAL-X is the product expression of the machine side of that architecture. The public thought leadership should keep the category above the </w:t>
      </w:r>
      <w:proofErr w:type="gramStart"/>
      <w:r w:rsidRPr="00076347">
        <w:rPr>
          <w:rFonts w:ascii="Aptos" w:hAnsi="Aptos"/>
        </w:rPr>
        <w:t>product</w:t>
      </w:r>
      <w:proofErr w:type="gramEnd"/>
      <w:r w:rsidRPr="00076347">
        <w:rPr>
          <w:rFonts w:ascii="Aptos" w:hAnsi="Aptos"/>
        </w:rPr>
        <w:t xml:space="preserve"> so the company does not collapse into a tool pitch.</w:t>
      </w:r>
    </w:p>
    <w:p w14:paraId="31940442" w14:textId="77777777" w:rsidR="00C61764" w:rsidRPr="00076347" w:rsidRDefault="00104129">
      <w:pPr>
        <w:spacing w:after="160" w:line="259" w:lineRule="auto"/>
      </w:pPr>
      <w:r w:rsidRPr="00076347">
        <w:rPr>
          <w:rFonts w:ascii="Aptos" w:hAnsi="Aptos"/>
        </w:rPr>
        <w:t xml:space="preserve">This also affects tone. Generic vendors often speak in broad, safe phrases because they are trying to appeal to every committee at once. Jochanni Labs should not sound like a committee. It should sound like a </w:t>
      </w:r>
      <w:proofErr w:type="gramStart"/>
      <w:r w:rsidRPr="00076347">
        <w:rPr>
          <w:rFonts w:ascii="Aptos" w:hAnsi="Aptos"/>
        </w:rPr>
        <w:t>founder led</w:t>
      </w:r>
      <w:proofErr w:type="gramEnd"/>
      <w:r w:rsidRPr="00076347">
        <w:rPr>
          <w:rFonts w:ascii="Aptos" w:hAnsi="Aptos"/>
        </w:rPr>
        <w:t xml:space="preserve"> category company naming the control failure other vendors are still circling. The voice should be formal, direct, specific, and anchored to enterprise execution. It should avoid soft phrases that make Decision Governance sound like a content layer.</w:t>
      </w:r>
    </w:p>
    <w:p w14:paraId="167418F1" w14:textId="77777777" w:rsidR="00C61764" w:rsidRPr="00076347" w:rsidRDefault="00104129">
      <w:pPr>
        <w:spacing w:after="160" w:line="259" w:lineRule="auto"/>
      </w:pPr>
      <w:r w:rsidRPr="00076347">
        <w:rPr>
          <w:rFonts w:ascii="Aptos" w:hAnsi="Aptos"/>
        </w:rPr>
        <w:t>Jochanni Labs should also avoid pretending every buyer is ready for the full category on day one. A buyer may enter through AI governance, model risk, compliance, operational risk, legal operations, product controls, or enterprise transformation. The entry point can vary. The company language cannot vary so much that the thesis disappears. Every conversation should return to the same core issue: AI influenced decisions require an authorized path before action moves forward.</w:t>
      </w:r>
    </w:p>
    <w:p w14:paraId="7EED9B88" w14:textId="77777777" w:rsidR="00C61764" w:rsidRPr="00076347" w:rsidRDefault="00104129">
      <w:pPr>
        <w:spacing w:after="160" w:line="259" w:lineRule="auto"/>
      </w:pPr>
      <w:r w:rsidRPr="00076347">
        <w:rPr>
          <w:rFonts w:ascii="Aptos" w:hAnsi="Aptos"/>
        </w:rPr>
        <w:lastRenderedPageBreak/>
        <w:t>The strongest category language will not try to make Decision Governance sound familiar too quickly. It should make the current market feel incomplete. It should show that model governance can govern the system while Decision Governance governs the AI shaped decision path. It should show that a dashboard can display activity while Decision Governance tests whether the movement was authorized. It should show that policy can describe intent while Decision Governance requires proof before consequence.</w:t>
      </w:r>
    </w:p>
    <w:p w14:paraId="7C74A345" w14:textId="77777777" w:rsidR="00C61764" w:rsidRPr="00076347" w:rsidRDefault="00104129">
      <w:pPr>
        <w:spacing w:after="160" w:line="259" w:lineRule="auto"/>
      </w:pPr>
      <w:r w:rsidRPr="00076347">
        <w:rPr>
          <w:rFonts w:ascii="Aptos" w:hAnsi="Aptos"/>
        </w:rPr>
        <w:t>This is why Jochanni Labs must not sound like a generic AI governance vendor. Generic vendor language would make the company easier to understand in the short term and weaker in the category it is building. The correct path is sharper: use public governance frameworks as validation, then define the missing operating category beyond them.</w:t>
      </w:r>
    </w:p>
    <w:p w14:paraId="21A87971" w14:textId="77777777" w:rsidR="00C61764" w:rsidRPr="00076347" w:rsidRDefault="00104129">
      <w:pPr>
        <w:spacing w:after="160" w:line="259" w:lineRule="auto"/>
      </w:pPr>
      <w:r w:rsidRPr="00076347">
        <w:rPr>
          <w:rFonts w:ascii="Aptos" w:hAnsi="Aptos"/>
        </w:rPr>
        <w:t>The next control frontier is not better vendor language around AI governance. It is Decision Governance as the enterprise category for proving that AI influenced decisions were authorized before they created consequence.</w:t>
      </w:r>
    </w:p>
    <w:tbl>
      <w:tblPr>
        <w:tblW w:w="0" w:type="auto"/>
        <w:jc w:val="center"/>
        <w:tblLayout w:type="fixed"/>
        <w:tblLook w:val="04A0" w:firstRow="1" w:lastRow="0" w:firstColumn="1" w:lastColumn="0" w:noHBand="0" w:noVBand="1"/>
      </w:tblPr>
      <w:tblGrid>
        <w:gridCol w:w="1800"/>
        <w:gridCol w:w="8856"/>
      </w:tblGrid>
      <w:tr w:rsidR="00C61764" w14:paraId="05E43C79" w14:textId="77777777" w:rsidTr="004E73C0">
        <w:trPr>
          <w:jc w:val="center"/>
        </w:trPr>
        <w:tc>
          <w:tcPr>
            <w:tcW w:w="1800" w:type="dxa"/>
            <w:tcBorders>
              <w:top w:val="single" w:sz="12" w:space="0" w:color="E86811"/>
              <w:left w:val="single" w:sz="12" w:space="0" w:color="E86811"/>
              <w:bottom w:val="single" w:sz="12" w:space="0" w:color="E86811"/>
              <w:right w:val="single" w:sz="12" w:space="0" w:color="E86811"/>
            </w:tcBorders>
            <w:shd w:val="clear" w:color="auto" w:fill="0B1012"/>
            <w:vAlign w:val="center"/>
          </w:tcPr>
          <w:p w14:paraId="5747A2C4" w14:textId="77777777" w:rsidR="00C61764" w:rsidRDefault="00104129" w:rsidP="004E73C0">
            <w:r>
              <w:rPr>
                <w:noProof/>
              </w:rPr>
              <w:drawing>
                <wp:inline distT="0" distB="0" distL="0" distR="0" wp14:anchorId="4103972C" wp14:editId="41CB4CC0">
                  <wp:extent cx="100584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logo18_for_tables.png"/>
                          <pic:cNvPicPr/>
                        </pic:nvPicPr>
                        <pic:blipFill>
                          <a:blip r:embed="rId9"/>
                          <a:stretch>
                            <a:fillRect/>
                          </a:stretch>
                        </pic:blipFill>
                        <pic:spPr>
                          <a:xfrm>
                            <a:off x="0" y="0"/>
                            <a:ext cx="1005840" cy="1005840"/>
                          </a:xfrm>
                          <a:prstGeom prst="rect">
                            <a:avLst/>
                          </a:prstGeom>
                        </pic:spPr>
                      </pic:pic>
                    </a:graphicData>
                  </a:graphic>
                </wp:inline>
              </w:drawing>
            </w:r>
          </w:p>
        </w:tc>
        <w:tc>
          <w:tcPr>
            <w:tcW w:w="8856" w:type="dxa"/>
            <w:tcBorders>
              <w:top w:val="single" w:sz="12" w:space="0" w:color="E86811"/>
              <w:left w:val="single" w:sz="12" w:space="0" w:color="E86811"/>
              <w:bottom w:val="single" w:sz="12" w:space="0" w:color="E86811"/>
              <w:right w:val="single" w:sz="12" w:space="0" w:color="E86811"/>
            </w:tcBorders>
            <w:shd w:val="clear" w:color="auto" w:fill="F9F6F1"/>
            <w:vAlign w:val="center"/>
          </w:tcPr>
          <w:p w14:paraId="723C1450" w14:textId="77777777" w:rsidR="00C61764" w:rsidRDefault="00104129" w:rsidP="004E73C0">
            <w:pPr>
              <w:spacing w:after="0" w:line="240" w:lineRule="auto"/>
              <w:jc w:val="center"/>
            </w:pPr>
            <w:r>
              <w:rPr>
                <w:rFonts w:ascii="Aptos" w:hAnsi="Aptos"/>
                <w:b/>
                <w:color w:val="E86811"/>
              </w:rPr>
              <w:t>CATEGORY CLAIM:</w:t>
            </w:r>
            <w:r>
              <w:rPr>
                <w:rFonts w:ascii="Aptos" w:hAnsi="Aptos"/>
                <w:b/>
                <w:color w:val="E86811"/>
              </w:rPr>
              <w:br/>
            </w:r>
            <w:r>
              <w:rPr>
                <w:rFonts w:ascii="Aptos" w:hAnsi="Aptos"/>
                <w:b/>
              </w:rPr>
              <w:t>Jochanni Labs should own Decision Governance language, not generic AI governance vendor language, because the company is defining the authority layer behind AI influenced decisions.</w:t>
            </w:r>
          </w:p>
        </w:tc>
      </w:tr>
    </w:tbl>
    <w:p w14:paraId="1FF0A7BB" w14:textId="77777777" w:rsidR="00C61764" w:rsidRPr="00076347" w:rsidRDefault="00104129">
      <w:pPr>
        <w:spacing w:before="320" w:after="160"/>
        <w:rPr>
          <w:rFonts w:ascii="Georgia" w:hAnsi="Georgia"/>
          <w:sz w:val="44"/>
          <w:szCs w:val="44"/>
        </w:rPr>
      </w:pPr>
      <w:r w:rsidRPr="00076347">
        <w:rPr>
          <w:rFonts w:ascii="Georgia" w:hAnsi="Georgia"/>
          <w:b/>
          <w:color w:val="E86811"/>
          <w:sz w:val="44"/>
          <w:szCs w:val="44"/>
        </w:rPr>
        <w:t>Source Notes</w:t>
      </w:r>
    </w:p>
    <w:p w14:paraId="6E5F6621" w14:textId="77777777" w:rsidR="00C61764" w:rsidRPr="00076347" w:rsidRDefault="00104129">
      <w:pPr>
        <w:spacing w:after="80" w:line="240" w:lineRule="auto"/>
        <w:rPr>
          <w:sz w:val="18"/>
          <w:szCs w:val="18"/>
        </w:rPr>
      </w:pPr>
      <w:r w:rsidRPr="00076347">
        <w:rPr>
          <w:rFonts w:ascii="Aptos" w:hAnsi="Aptos"/>
          <w:b/>
          <w:color w:val="E86811"/>
          <w:sz w:val="18"/>
          <w:szCs w:val="18"/>
        </w:rPr>
        <w:t xml:space="preserve">1. </w:t>
      </w:r>
      <w:r w:rsidRPr="00076347">
        <w:rPr>
          <w:rFonts w:ascii="Aptos" w:hAnsi="Aptos"/>
          <w:sz w:val="18"/>
          <w:szCs w:val="18"/>
        </w:rPr>
        <w:t>NIST AI Risk Management Framework. The AI RMF Core is organized around Govern, Map, Measure, and Manage functions. Source: https://airc.nist.gov/airmf-resources/airmf/5-sec-core/</w:t>
      </w:r>
    </w:p>
    <w:p w14:paraId="5CDDFED7" w14:textId="77777777" w:rsidR="00C61764" w:rsidRPr="00076347" w:rsidRDefault="00104129">
      <w:pPr>
        <w:spacing w:after="80" w:line="240" w:lineRule="auto"/>
        <w:rPr>
          <w:sz w:val="18"/>
          <w:szCs w:val="18"/>
        </w:rPr>
      </w:pPr>
      <w:r w:rsidRPr="00076347">
        <w:rPr>
          <w:rFonts w:ascii="Aptos" w:hAnsi="Aptos"/>
          <w:b/>
          <w:color w:val="E86811"/>
          <w:sz w:val="18"/>
          <w:szCs w:val="18"/>
        </w:rPr>
        <w:t xml:space="preserve">2. </w:t>
      </w:r>
      <w:r w:rsidRPr="00076347">
        <w:rPr>
          <w:rFonts w:ascii="Aptos" w:hAnsi="Aptos"/>
          <w:sz w:val="18"/>
          <w:szCs w:val="18"/>
        </w:rPr>
        <w:t>OECD AI Principles. Accountability includes traceability in relation to datasets, processes, and decisions made during the AI system lifecycle. Source: https://oecd.ai/en/dashboards/ai-principles/P9</w:t>
      </w:r>
    </w:p>
    <w:p w14:paraId="4B866BE0" w14:textId="77777777" w:rsidR="00C61764" w:rsidRPr="00076347" w:rsidRDefault="00104129">
      <w:pPr>
        <w:spacing w:after="80" w:line="240" w:lineRule="auto"/>
        <w:rPr>
          <w:sz w:val="18"/>
          <w:szCs w:val="18"/>
        </w:rPr>
      </w:pPr>
      <w:r w:rsidRPr="00076347">
        <w:rPr>
          <w:rFonts w:ascii="Aptos" w:hAnsi="Aptos"/>
          <w:b/>
          <w:color w:val="E86811"/>
          <w:sz w:val="18"/>
          <w:szCs w:val="18"/>
        </w:rPr>
        <w:t xml:space="preserve">3. </w:t>
      </w:r>
      <w:r w:rsidRPr="00076347">
        <w:rPr>
          <w:rFonts w:ascii="Aptos" w:hAnsi="Aptos"/>
          <w:sz w:val="18"/>
          <w:szCs w:val="18"/>
        </w:rPr>
        <w:t xml:space="preserve">EU AI Act, Chapter III, Section 2. Requirements for </w:t>
      </w:r>
      <w:proofErr w:type="gramStart"/>
      <w:r w:rsidRPr="00076347">
        <w:rPr>
          <w:rFonts w:ascii="Aptos" w:hAnsi="Aptos"/>
          <w:sz w:val="18"/>
          <w:szCs w:val="18"/>
        </w:rPr>
        <w:t>high risk</w:t>
      </w:r>
      <w:proofErr w:type="gramEnd"/>
      <w:r w:rsidRPr="00076347">
        <w:rPr>
          <w:rFonts w:ascii="Aptos" w:hAnsi="Aptos"/>
          <w:sz w:val="18"/>
          <w:szCs w:val="18"/>
        </w:rPr>
        <w:t xml:space="preserve"> AI systems include risk management, technical documentation, record keeping, transparency to deployers, human oversight, and accuracy, robustness, and cybersecurity. Source: https://artificialintelligenceact.eu/chapter/3/</w:t>
      </w:r>
    </w:p>
    <w:p w14:paraId="435E8896" w14:textId="77777777" w:rsidR="00933AD4" w:rsidRPr="0009179E" w:rsidRDefault="00933AD4" w:rsidP="00933AD4">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1CAAC40D" w14:textId="77777777" w:rsidR="00933AD4" w:rsidRPr="0009179E" w:rsidRDefault="00933AD4" w:rsidP="00933AD4">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7EE54E2F" w14:textId="3BA1A5B3" w:rsidR="00C61764" w:rsidRDefault="00C61764" w:rsidP="00933AD4">
      <w:pPr>
        <w:spacing w:before="120"/>
      </w:pPr>
    </w:p>
    <w:sectPr w:rsidR="00C61764" w:rsidSect="00034616">
      <w:headerReference w:type="default" r:id="rId10"/>
      <w:footerReference w:type="default" r:id="rId11"/>
      <w:pgSz w:w="12240" w:h="15840"/>
      <w:pgMar w:top="576"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A3F8" w14:textId="77777777" w:rsidR="00EE00E6" w:rsidRDefault="00EE00E6">
      <w:pPr>
        <w:spacing w:after="0" w:line="240" w:lineRule="auto"/>
      </w:pPr>
      <w:r>
        <w:separator/>
      </w:r>
    </w:p>
  </w:endnote>
  <w:endnote w:type="continuationSeparator" w:id="0">
    <w:p w14:paraId="1F136078" w14:textId="77777777" w:rsidR="00EE00E6" w:rsidRDefault="00EE0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0363" w14:textId="77777777" w:rsidR="00C61764" w:rsidRDefault="00104129">
    <w:pPr>
      <w:pStyle w:val="Footer"/>
      <w:jc w:val="center"/>
    </w:pPr>
    <w:r>
      <w:rPr>
        <w:rFonts w:ascii="Aptos" w:hAnsi="Aptos"/>
        <w:color w:val="787878"/>
        <w:sz w:val="16"/>
      </w:rPr>
      <w:t xml:space="preserve">Why </w:t>
    </w:r>
    <w:proofErr w:type="spellStart"/>
    <w:r>
      <w:rPr>
        <w:rFonts w:ascii="Aptos" w:hAnsi="Aptos"/>
        <w:color w:val="787878"/>
        <w:sz w:val="16"/>
      </w:rPr>
      <w:t>Jochanni</w:t>
    </w:r>
    <w:proofErr w:type="spellEnd"/>
    <w:r>
      <w:rPr>
        <w:rFonts w:ascii="Aptos" w:hAnsi="Aptos"/>
        <w:color w:val="787878"/>
        <w:sz w:val="16"/>
      </w:rPr>
      <w:t xml:space="preserve"> Labs Must Not Sound Like A Generic AI Governance Vendor.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BF47" w14:textId="77777777" w:rsidR="00EE00E6" w:rsidRDefault="00EE00E6">
      <w:pPr>
        <w:spacing w:after="0" w:line="240" w:lineRule="auto"/>
      </w:pPr>
      <w:r>
        <w:separator/>
      </w:r>
    </w:p>
  </w:footnote>
  <w:footnote w:type="continuationSeparator" w:id="0">
    <w:p w14:paraId="3674C85E" w14:textId="77777777" w:rsidR="00EE00E6" w:rsidRDefault="00EE0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BD61" w14:textId="77777777" w:rsidR="00C61764" w:rsidRDefault="00104129">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887000">
    <w:abstractNumId w:val="8"/>
  </w:num>
  <w:num w:numId="2" w16cid:durableId="540290431">
    <w:abstractNumId w:val="6"/>
  </w:num>
  <w:num w:numId="3" w16cid:durableId="370493197">
    <w:abstractNumId w:val="5"/>
  </w:num>
  <w:num w:numId="4" w16cid:durableId="1353411484">
    <w:abstractNumId w:val="4"/>
  </w:num>
  <w:num w:numId="5" w16cid:durableId="554977100">
    <w:abstractNumId w:val="7"/>
  </w:num>
  <w:num w:numId="6" w16cid:durableId="1483959016">
    <w:abstractNumId w:val="3"/>
  </w:num>
  <w:num w:numId="7" w16cid:durableId="1836528826">
    <w:abstractNumId w:val="2"/>
  </w:num>
  <w:num w:numId="8" w16cid:durableId="269823255">
    <w:abstractNumId w:val="1"/>
  </w:num>
  <w:num w:numId="9" w16cid:durableId="10388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347"/>
    <w:rsid w:val="00104129"/>
    <w:rsid w:val="0015074B"/>
    <w:rsid w:val="0029639D"/>
    <w:rsid w:val="00326F90"/>
    <w:rsid w:val="004E73C0"/>
    <w:rsid w:val="00901639"/>
    <w:rsid w:val="00933AD4"/>
    <w:rsid w:val="00943EC2"/>
    <w:rsid w:val="00AA1D8D"/>
    <w:rsid w:val="00B47730"/>
    <w:rsid w:val="00C61764"/>
    <w:rsid w:val="00CB0664"/>
    <w:rsid w:val="00EE0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0ABC8"/>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3</cp:revision>
  <dcterms:created xsi:type="dcterms:W3CDTF">2026-05-11T21:20:00Z</dcterms:created>
  <dcterms:modified xsi:type="dcterms:W3CDTF">2026-05-11T21:46:00Z</dcterms:modified>
  <cp:category/>
</cp:coreProperties>
</file>