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96CF" w14:textId="77777777" w:rsidR="005722C8" w:rsidRDefault="006D035E">
      <w:pPr>
        <w:spacing w:after="240"/>
        <w:jc w:val="center"/>
      </w:pPr>
      <w:r>
        <w:rPr>
          <w:noProof/>
        </w:rPr>
        <w:drawing>
          <wp:inline distT="0" distB="0" distL="0" distR="0" wp14:anchorId="566007CE" wp14:editId="68A716C0">
            <wp:extent cx="678688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9_hero.png"/>
                    <pic:cNvPicPr/>
                  </pic:nvPicPr>
                  <pic:blipFill>
                    <a:blip r:embed="rId8"/>
                    <a:stretch>
                      <a:fillRect/>
                    </a:stretch>
                  </pic:blipFill>
                  <pic:spPr>
                    <a:xfrm>
                      <a:off x="0" y="0"/>
                      <a:ext cx="6789446"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5722C8" w14:paraId="0C4079F6"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64105BFD" w14:textId="77777777" w:rsidR="005722C8" w:rsidRDefault="006D035E">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62A5DC1D" w14:textId="77777777" w:rsidR="005722C8" w:rsidRDefault="006D035E">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860 words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0FFA3142" w14:textId="77777777" w:rsidR="005722C8" w:rsidRDefault="006D035E">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Thought leadership essay</w:t>
            </w:r>
          </w:p>
        </w:tc>
      </w:tr>
    </w:tbl>
    <w:tbl>
      <w:tblPr>
        <w:tblW w:w="0" w:type="auto"/>
        <w:jc w:val="center"/>
        <w:tblLook w:val="04A0" w:firstRow="1" w:lastRow="0" w:firstColumn="1" w:lastColumn="0" w:noHBand="0" w:noVBand="1"/>
      </w:tblPr>
      <w:tblGrid>
        <w:gridCol w:w="10616"/>
      </w:tblGrid>
      <w:tr w:rsidR="005722C8" w14:paraId="5609C692" w14:textId="77777777" w:rsidTr="009C15E7">
        <w:trPr>
          <w:trHeight w:val="1193"/>
          <w:jc w:val="center"/>
        </w:trPr>
        <w:tc>
          <w:tcPr>
            <w:tcW w:w="10656" w:type="dxa"/>
            <w:tcBorders>
              <w:top w:val="single" w:sz="16" w:space="0" w:color="E86811"/>
              <w:left w:val="single" w:sz="16" w:space="0" w:color="E86811"/>
              <w:bottom w:val="single" w:sz="16" w:space="0" w:color="E86811"/>
              <w:right w:val="single" w:sz="16" w:space="0" w:color="E86811"/>
            </w:tcBorders>
            <w:shd w:val="clear" w:color="auto" w:fill="0B1012"/>
          </w:tcPr>
          <w:p w14:paraId="209382B3" w14:textId="77777777" w:rsidR="005722C8" w:rsidRDefault="006D035E" w:rsidP="009C15E7">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The market has many artifacts that describe AI risk, but authority infrastructure is the missing operating layer that determines whether AI shaped work is allowed to move toward consequence.</w:t>
            </w:r>
          </w:p>
        </w:tc>
      </w:tr>
    </w:tbl>
    <w:p w14:paraId="5013BC0F" w14:textId="77777777" w:rsidR="005722C8" w:rsidRPr="00C41A85" w:rsidRDefault="006D035E">
      <w:pPr>
        <w:spacing w:before="300" w:after="140"/>
        <w:rPr>
          <w:rFonts w:ascii="Georgia" w:hAnsi="Georgia"/>
        </w:rPr>
      </w:pPr>
      <w:r w:rsidRPr="00C41A85">
        <w:rPr>
          <w:rFonts w:ascii="Georgia" w:hAnsi="Georgia"/>
          <w:b/>
          <w:color w:val="E86811"/>
          <w:sz w:val="44"/>
        </w:rPr>
        <w:t>Essay</w:t>
      </w:r>
    </w:p>
    <w:p w14:paraId="2022704E" w14:textId="77777777" w:rsidR="005722C8" w:rsidRPr="00C41A85" w:rsidRDefault="006D035E">
      <w:pPr>
        <w:spacing w:after="160" w:line="259" w:lineRule="auto"/>
      </w:pPr>
      <w:r w:rsidRPr="00C41A85">
        <w:rPr>
          <w:rFonts w:ascii="Aptos" w:hAnsi="Aptos"/>
          <w:b/>
        </w:rPr>
        <w:t>The AI governance market is filling with artifacts. Enterprises can buy checklists, legal summaries, readiness timelines, policy templates, use case inventories, maturity assessments, model registers, training decks, and dashboards. Those assets can be useful. They organize work, create a common language, and help leadership see where the organization stands. They also stop short of the control layer enterprises will need when AI shaped work begins moving toward real action.</w:t>
      </w:r>
    </w:p>
    <w:p w14:paraId="643B268B" w14:textId="77777777" w:rsidR="005722C8" w:rsidRPr="00C41A85" w:rsidRDefault="006D035E">
      <w:pPr>
        <w:spacing w:after="160" w:line="259" w:lineRule="auto"/>
      </w:pPr>
      <w:r w:rsidRPr="00C41A85">
        <w:rPr>
          <w:rFonts w:ascii="Aptos" w:hAnsi="Aptos"/>
        </w:rPr>
        <w:t>The missing layer is authority infrastructure. A checklist can confirm that a policy topic was reviewed. A summary can explain what a regulation appears to require. A timeline can tell leaders when obligations become active. A dashboard can show activity. None of those artifacts, by themselves, determines whether an AI influenced recommendation, routing action, exception, approval request, customer response, legal position, or operational decision is permitted to move forward.</w:t>
      </w:r>
    </w:p>
    <w:p w14:paraId="4C4283E7" w14:textId="77777777" w:rsidR="005722C8" w:rsidRPr="00C41A85" w:rsidRDefault="006D035E">
      <w:pPr>
        <w:spacing w:after="160" w:line="259" w:lineRule="auto"/>
      </w:pPr>
      <w:r w:rsidRPr="00C41A85">
        <w:rPr>
          <w:rFonts w:ascii="Aptos" w:hAnsi="Aptos"/>
        </w:rPr>
        <w:t>NIST's AI Risk Management Framework gives organizations a useful structure for AI risk work through Govern, Map, Measure, and Manage functions. The framework helps organizations organize AI risk management across lifecycle activities and operating contexts. The gap appears when the framework becomes internal documentation while the live decision path remains under controlled. An enterprise can complete governance activities and still lack the authority infrastructure required at the point where AI output begins shaping consequence.</w:t>
      </w:r>
      <w:r w:rsidRPr="00C41A85">
        <w:rPr>
          <w:rFonts w:ascii="Aptos" w:hAnsi="Aptos"/>
          <w:color w:val="E86811"/>
          <w:vertAlign w:val="superscript"/>
        </w:rPr>
        <w:t>1</w:t>
      </w:r>
    </w:p>
    <w:p w14:paraId="2ECB13DA" w14:textId="77777777" w:rsidR="005722C8" w:rsidRPr="00C41A85" w:rsidRDefault="006D035E">
      <w:pPr>
        <w:spacing w:after="160" w:line="259" w:lineRule="auto"/>
      </w:pPr>
      <w:r w:rsidRPr="00C41A85">
        <w:rPr>
          <w:rFonts w:ascii="Aptos" w:hAnsi="Aptos"/>
        </w:rPr>
        <w:t>Authority infrastructure is not another document repository. It is the operating layer that connects AI participation to the conditions required before business movement is allowed. It defines which AI shaped work can proceed, which work requires review, which work requires escalation, which work must be blocked, which authority holder must approve, which exception path applies, and which evidence record must exist before the enterprise acts.</w:t>
      </w:r>
    </w:p>
    <w:p w14:paraId="3FC5715B" w14:textId="77777777" w:rsidR="005722C8" w:rsidRPr="00C41A85" w:rsidRDefault="006D035E">
      <w:pPr>
        <w:spacing w:after="160" w:line="259" w:lineRule="auto"/>
      </w:pPr>
      <w:r w:rsidRPr="00C41A85">
        <w:rPr>
          <w:rFonts w:ascii="Aptos" w:hAnsi="Aptos"/>
        </w:rPr>
        <w:t>The current market often treats governance as preparation. Preparation has value, yet the enterprise problem is no longer limited to awareness. AI is entering customer communications, underwriting, claims, hiring, legal review, software development, financial analysis, procurement, risk operations, and internal control processes. Once AI participates in those workflows, the institution needs more than a record that the use case was known. It needs a controlled path for what the AI shaped work is allowed to do.</w:t>
      </w:r>
    </w:p>
    <w:p w14:paraId="149A7DC3" w14:textId="77777777" w:rsidR="005722C8" w:rsidRPr="00C41A85" w:rsidRDefault="006D035E">
      <w:pPr>
        <w:spacing w:after="160" w:line="259" w:lineRule="auto"/>
      </w:pPr>
      <w:r w:rsidRPr="00C41A85">
        <w:rPr>
          <w:rFonts w:ascii="Aptos" w:hAnsi="Aptos"/>
        </w:rPr>
        <w:lastRenderedPageBreak/>
        <w:t>A legal summary may help a compliance team understand a requirement. A readiness timeline may help a project office organize milestones. A checklist may help a governance committee confirm that topics were discussed. Those artifacts become weak when the enterprise cannot prove who had authority over the AI influenced action before it moved. The control failure is not the absence of documentation. The control failure is documentation without enforceable movement control.</w:t>
      </w:r>
    </w:p>
    <w:p w14:paraId="05D7632E" w14:textId="77777777" w:rsidR="005722C8" w:rsidRPr="00C41A85" w:rsidRDefault="006D035E">
      <w:pPr>
        <w:spacing w:after="160" w:line="259" w:lineRule="auto"/>
      </w:pPr>
      <w:r w:rsidRPr="00C41A85">
        <w:rPr>
          <w:rFonts w:ascii="Aptos" w:hAnsi="Aptos"/>
        </w:rPr>
        <w:t xml:space="preserve">Public governance language already points in this direction. The OECD AI Principles connect accountability to roles, context, and traceability across datasets, processes, and decisions made during the AI system lifecycle. </w:t>
      </w:r>
      <w:proofErr w:type="gramStart"/>
      <w:r w:rsidRPr="00C41A85">
        <w:rPr>
          <w:rFonts w:ascii="Aptos" w:hAnsi="Aptos"/>
        </w:rPr>
        <w:t>Decision traceability</w:t>
      </w:r>
      <w:proofErr w:type="gramEnd"/>
      <w:r w:rsidRPr="00C41A85">
        <w:rPr>
          <w:rFonts w:ascii="Aptos" w:hAnsi="Aptos"/>
        </w:rPr>
        <w:t xml:space="preserve"> is the opening. Authority infrastructure is the next move, because traceability without authority only shows what happened. It does not prove the movement was permitted before consequence was created.</w:t>
      </w:r>
      <w:r w:rsidRPr="00C41A85">
        <w:rPr>
          <w:rFonts w:ascii="Aptos" w:hAnsi="Aptos"/>
          <w:color w:val="E86811"/>
          <w:vertAlign w:val="superscript"/>
        </w:rPr>
        <w:t>2</w:t>
      </w:r>
    </w:p>
    <w:p w14:paraId="33049E2C" w14:textId="77777777" w:rsidR="005722C8" w:rsidRPr="00C41A85" w:rsidRDefault="006D035E">
      <w:pPr>
        <w:spacing w:after="160" w:line="259" w:lineRule="auto"/>
      </w:pPr>
      <w:r w:rsidRPr="00C41A85">
        <w:rPr>
          <w:rFonts w:ascii="Aptos" w:hAnsi="Aptos"/>
        </w:rPr>
        <w:t xml:space="preserve">The EU AI Act also signals the same operational pressure through requirements for </w:t>
      </w:r>
      <w:proofErr w:type="gramStart"/>
      <w:r w:rsidRPr="00C41A85">
        <w:rPr>
          <w:rFonts w:ascii="Aptos" w:hAnsi="Aptos"/>
        </w:rPr>
        <w:t>high risk</w:t>
      </w:r>
      <w:proofErr w:type="gramEnd"/>
      <w:r w:rsidRPr="00C41A85">
        <w:rPr>
          <w:rFonts w:ascii="Aptos" w:hAnsi="Aptos"/>
        </w:rPr>
        <w:t xml:space="preserve"> AI systems, including risk management, technical documentation, record keeping, transparency, human oversight, and related controls. Those requirements are not the same as Decision Governance. They do, however, show that serious AI environments are moving toward proof, traceability, and oversight across the lifecycle. The market response cannot remain trapped in summaries and checklists if the real exposure appears during execution.</w:t>
      </w:r>
      <w:r w:rsidRPr="00C41A85">
        <w:rPr>
          <w:rFonts w:ascii="Aptos" w:hAnsi="Aptos"/>
          <w:color w:val="E86811"/>
          <w:vertAlign w:val="superscript"/>
        </w:rPr>
        <w:t>3</w:t>
      </w:r>
    </w:p>
    <w:p w14:paraId="5334DC3E" w14:textId="77777777" w:rsidR="005722C8" w:rsidRPr="00C41A85" w:rsidRDefault="006D035E">
      <w:pPr>
        <w:spacing w:after="160" w:line="259" w:lineRule="auto"/>
      </w:pPr>
      <w:r w:rsidRPr="00C41A85">
        <w:rPr>
          <w:rFonts w:ascii="Aptos" w:hAnsi="Aptos"/>
        </w:rPr>
        <w:t>The sharper question for enterprises is not whether they have AI governance materials. The sharper question is whether those materials connect to the moment of action. If AI shaped a customer remediation recommendation, who authorized the decision path? If AI changed a risk classification, which approval condition changed? If AI drafted an external legal position, which authority holder reviewed it before release? If AI generated code affecting production access, which control path blocked or permitted movement?</w:t>
      </w:r>
    </w:p>
    <w:tbl>
      <w:tblPr>
        <w:tblW w:w="0" w:type="auto"/>
        <w:jc w:val="center"/>
        <w:tblLayout w:type="fixed"/>
        <w:tblLook w:val="04A0" w:firstRow="1" w:lastRow="0" w:firstColumn="1" w:lastColumn="0" w:noHBand="0" w:noVBand="1"/>
      </w:tblPr>
      <w:tblGrid>
        <w:gridCol w:w="1800"/>
        <w:gridCol w:w="8856"/>
      </w:tblGrid>
      <w:tr w:rsidR="005722C8" w14:paraId="4851C6AF" w14:textId="77777777" w:rsidTr="009C15E7">
        <w:trPr>
          <w:jc w:val="center"/>
        </w:trPr>
        <w:tc>
          <w:tcPr>
            <w:tcW w:w="1800" w:type="dxa"/>
            <w:tcBorders>
              <w:top w:val="single" w:sz="10" w:space="0" w:color="E86811"/>
              <w:left w:val="single" w:sz="10" w:space="0" w:color="E86811"/>
              <w:bottom w:val="single" w:sz="10" w:space="0" w:color="E86811"/>
              <w:right w:val="single" w:sz="10" w:space="0" w:color="E86811"/>
            </w:tcBorders>
            <w:shd w:val="clear" w:color="auto" w:fill="0B1012"/>
            <w:vAlign w:val="center"/>
          </w:tcPr>
          <w:p w14:paraId="2DF223B2" w14:textId="77777777" w:rsidR="005722C8" w:rsidRDefault="006D035E" w:rsidP="009C15E7">
            <w:r>
              <w:rPr>
                <w:noProof/>
              </w:rPr>
              <w:drawing>
                <wp:inline distT="0" distB="0" distL="0" distR="0" wp14:anchorId="65C6C294" wp14:editId="1523A1C0">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19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0" w:space="0" w:color="E86811"/>
              <w:left w:val="single" w:sz="10" w:space="0" w:color="E86811"/>
              <w:bottom w:val="single" w:sz="10" w:space="0" w:color="E86811"/>
              <w:right w:val="single" w:sz="10" w:space="0" w:color="E86811"/>
            </w:tcBorders>
            <w:shd w:val="clear" w:color="auto" w:fill="F9F6F1"/>
            <w:vAlign w:val="center"/>
          </w:tcPr>
          <w:p w14:paraId="3D503017" w14:textId="77777777" w:rsidR="005722C8" w:rsidRDefault="006D035E" w:rsidP="009C15E7">
            <w:pPr>
              <w:spacing w:after="0" w:line="240" w:lineRule="auto"/>
              <w:jc w:val="center"/>
            </w:pPr>
            <w:r>
              <w:rPr>
                <w:rFonts w:ascii="Aptos" w:hAnsi="Aptos"/>
                <w:b/>
                <w:color w:val="E86811"/>
              </w:rPr>
              <w:t>MICRO EXAMPLE:</w:t>
            </w:r>
            <w:r>
              <w:rPr>
                <w:rFonts w:ascii="Aptos" w:hAnsi="Aptos"/>
                <w:b/>
                <w:color w:val="E86811"/>
              </w:rPr>
              <w:br/>
            </w:r>
            <w:r>
              <w:rPr>
                <w:rFonts w:ascii="Aptos" w:hAnsi="Aptos"/>
                <w:b/>
              </w:rPr>
              <w:t>A compliance checklist may show that AI use was reviewed, while an AI shaped customer remediation recommendation still moves without named authority, escalation logic, or evidence captured before action.</w:t>
            </w:r>
          </w:p>
        </w:tc>
      </w:tr>
    </w:tbl>
    <w:p w14:paraId="4AA4F7C9" w14:textId="77777777" w:rsidR="009C15E7" w:rsidRDefault="009C15E7">
      <w:pPr>
        <w:spacing w:after="160" w:line="259" w:lineRule="auto"/>
        <w:rPr>
          <w:rFonts w:ascii="Aptos" w:hAnsi="Aptos"/>
          <w:sz w:val="21"/>
        </w:rPr>
      </w:pPr>
    </w:p>
    <w:p w14:paraId="044009BC" w14:textId="54513682" w:rsidR="005722C8" w:rsidRPr="00C41A85" w:rsidRDefault="006D035E">
      <w:pPr>
        <w:spacing w:after="160" w:line="259" w:lineRule="auto"/>
      </w:pPr>
      <w:r w:rsidRPr="00C41A85">
        <w:rPr>
          <w:rFonts w:ascii="Aptos" w:hAnsi="Aptos"/>
        </w:rPr>
        <w:t>A compliance checklist may confirm that AI use was reviewed, yet if a customer remediation recommendation created by AI moves without named approval and a contemporaneous evidence record, the process has documentation but not authority infrastructure.</w:t>
      </w:r>
    </w:p>
    <w:p w14:paraId="27C222D4" w14:textId="77777777" w:rsidR="005722C8" w:rsidRPr="00C41A85" w:rsidRDefault="006D035E">
      <w:pPr>
        <w:spacing w:after="160" w:line="259" w:lineRule="auto"/>
      </w:pPr>
      <w:r w:rsidRPr="00C41A85">
        <w:rPr>
          <w:rFonts w:ascii="Aptos" w:hAnsi="Aptos"/>
        </w:rPr>
        <w:t>This is why the market needs a category correction. AI governance artifacts describe, organize, and prepare. Authority infrastructure governs movement. It is the difference between knowing that AI exists in a workflow and proving that the AI influenced path was authorized before the workflow created consequence.</w:t>
      </w:r>
    </w:p>
    <w:p w14:paraId="5DBED4F6" w14:textId="77777777" w:rsidR="005722C8" w:rsidRPr="00C41A85" w:rsidRDefault="006D035E">
      <w:pPr>
        <w:spacing w:after="160" w:line="259" w:lineRule="auto"/>
      </w:pPr>
      <w:r w:rsidRPr="00C41A85">
        <w:rPr>
          <w:rFonts w:ascii="Aptos" w:hAnsi="Aptos"/>
        </w:rPr>
        <w:t>The distinction also protects enterprises from false maturity. A company can appear mature because it has policies, inventories, committees, dashboards, and vendor reviews. The same company may still allow AI shaped work to move through informal approval channels because no system requires the authority check at the decision boundary. Mature documentation can coexist with weak control.</w:t>
      </w:r>
    </w:p>
    <w:p w14:paraId="7CFCD92D" w14:textId="77777777" w:rsidR="005722C8" w:rsidRPr="00C41A85" w:rsidRDefault="006D035E">
      <w:pPr>
        <w:spacing w:after="160" w:line="259" w:lineRule="auto"/>
      </w:pPr>
      <w:r w:rsidRPr="00C41A85">
        <w:rPr>
          <w:rFonts w:ascii="Aptos" w:hAnsi="Aptos"/>
        </w:rPr>
        <w:t>Decision Governance should name the missing operating layer. It should not replace model governance, legal review, risk management, or compliance. It should connect those disciplines to the decision path created by AI participation. Model governance can help assess the system. Compliance can help interpret obligations. Risk management can help prioritize exposure. Decision Governance asks whether the AI influenced movement was authorized before business consequence was created.</w:t>
      </w:r>
    </w:p>
    <w:p w14:paraId="0B247E33" w14:textId="77777777" w:rsidR="005722C8" w:rsidRPr="00C41A85" w:rsidRDefault="006D035E">
      <w:pPr>
        <w:spacing w:after="160" w:line="259" w:lineRule="auto"/>
      </w:pPr>
      <w:r w:rsidRPr="00C41A85">
        <w:rPr>
          <w:rFonts w:ascii="Aptos" w:hAnsi="Aptos"/>
        </w:rPr>
        <w:lastRenderedPageBreak/>
        <w:t>Authority infrastructure also has to be configured to the enterprise. A bank, insurer, healthcare system, law firm, broker dealer, public institution, and software company will not share the same consequence thresholds or approval paths. Each institution has its own authority structure, escalation logic, exception handling, regulated workflows, and evidence expectations. Checklists can be generic. Authority infrastructure cannot be generic if it is expected to control real action.</w:t>
      </w:r>
    </w:p>
    <w:p w14:paraId="120A1EE8" w14:textId="77777777" w:rsidR="005722C8" w:rsidRPr="00C41A85" w:rsidRDefault="006D035E">
      <w:pPr>
        <w:spacing w:after="160" w:line="259" w:lineRule="auto"/>
      </w:pPr>
      <w:r w:rsidRPr="00C41A85">
        <w:rPr>
          <w:rFonts w:ascii="Aptos" w:hAnsi="Aptos"/>
        </w:rPr>
        <w:t>Jochanni Labs should keep this line clear. The market may keep producing checklists, summaries, and timelines because those artifacts are easier to buy and easier to understand. The larger control gap is harder: enterprises need a way to govern AI shaped movement at the point where work becomes eligible for action. The category is not created by making another document. The category is created by proving that AI influenced decisions require authorized movement before consequence.</w:t>
      </w:r>
    </w:p>
    <w:p w14:paraId="29505C7C" w14:textId="77777777" w:rsidR="005722C8" w:rsidRPr="00C41A85" w:rsidRDefault="006D035E">
      <w:pPr>
        <w:spacing w:after="160" w:line="259" w:lineRule="auto"/>
      </w:pPr>
      <w:r w:rsidRPr="00C41A85">
        <w:rPr>
          <w:rFonts w:ascii="Aptos" w:hAnsi="Aptos"/>
        </w:rPr>
        <w:t>The next control frontier is not more AI governance paperwork. It is authority infrastructure that connects AI participation to permission, escalation, evidence, and decision traceability before enterprise action moves forward.</w:t>
      </w:r>
    </w:p>
    <w:tbl>
      <w:tblPr>
        <w:tblW w:w="0" w:type="auto"/>
        <w:jc w:val="center"/>
        <w:tblLayout w:type="fixed"/>
        <w:tblLook w:val="04A0" w:firstRow="1" w:lastRow="0" w:firstColumn="1" w:lastColumn="0" w:noHBand="0" w:noVBand="1"/>
      </w:tblPr>
      <w:tblGrid>
        <w:gridCol w:w="1800"/>
        <w:gridCol w:w="8856"/>
      </w:tblGrid>
      <w:tr w:rsidR="005722C8" w14:paraId="14D34CF2" w14:textId="77777777" w:rsidTr="009C15E7">
        <w:trPr>
          <w:jc w:val="center"/>
        </w:trPr>
        <w:tc>
          <w:tcPr>
            <w:tcW w:w="1800" w:type="dxa"/>
            <w:tcBorders>
              <w:top w:val="single" w:sz="12" w:space="0" w:color="E86811"/>
              <w:left w:val="single" w:sz="12" w:space="0" w:color="E86811"/>
              <w:bottom w:val="single" w:sz="12" w:space="0" w:color="E86811"/>
              <w:right w:val="single" w:sz="12" w:space="0" w:color="E86811"/>
            </w:tcBorders>
            <w:shd w:val="clear" w:color="auto" w:fill="0B1012"/>
            <w:vAlign w:val="center"/>
          </w:tcPr>
          <w:p w14:paraId="0AF8CF5A" w14:textId="77777777" w:rsidR="005722C8" w:rsidRDefault="006D035E" w:rsidP="009C15E7">
            <w:r>
              <w:rPr>
                <w:noProof/>
              </w:rPr>
              <w:drawing>
                <wp:inline distT="0" distB="0" distL="0" distR="0" wp14:anchorId="13011181" wp14:editId="2B0931AB">
                  <wp:extent cx="100584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19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2" w:space="0" w:color="E86811"/>
              <w:left w:val="single" w:sz="12" w:space="0" w:color="E86811"/>
              <w:bottom w:val="single" w:sz="12" w:space="0" w:color="E86811"/>
              <w:right w:val="single" w:sz="12" w:space="0" w:color="E86811"/>
            </w:tcBorders>
            <w:shd w:val="clear" w:color="auto" w:fill="F9F6F1"/>
            <w:vAlign w:val="center"/>
          </w:tcPr>
          <w:p w14:paraId="06375C0F" w14:textId="77777777" w:rsidR="005722C8" w:rsidRDefault="006D035E" w:rsidP="009C15E7">
            <w:pPr>
              <w:spacing w:after="0" w:line="240" w:lineRule="auto"/>
              <w:jc w:val="center"/>
            </w:pPr>
            <w:r>
              <w:rPr>
                <w:rFonts w:ascii="Aptos" w:hAnsi="Aptos"/>
                <w:b/>
                <w:color w:val="E86811"/>
              </w:rPr>
              <w:t>CATEGORY CLAIM:</w:t>
            </w:r>
            <w:r>
              <w:rPr>
                <w:rFonts w:ascii="Aptos" w:hAnsi="Aptos"/>
                <w:b/>
                <w:color w:val="E86811"/>
              </w:rPr>
              <w:br/>
            </w:r>
            <w:r>
              <w:rPr>
                <w:rFonts w:ascii="Aptos" w:hAnsi="Aptos"/>
                <w:b/>
              </w:rPr>
              <w:t>Decision Governance should define the authority infrastructure missing between AI governance artifacts and enterprise action.</w:t>
            </w:r>
          </w:p>
        </w:tc>
      </w:tr>
    </w:tbl>
    <w:p w14:paraId="093B9AD0" w14:textId="77777777" w:rsidR="005722C8" w:rsidRPr="00C41A85" w:rsidRDefault="006D035E">
      <w:pPr>
        <w:spacing w:before="300" w:after="140"/>
        <w:rPr>
          <w:rFonts w:ascii="Georgia" w:hAnsi="Georgia"/>
        </w:rPr>
      </w:pPr>
      <w:r w:rsidRPr="00C41A85">
        <w:rPr>
          <w:rFonts w:ascii="Georgia" w:hAnsi="Georgia"/>
          <w:b/>
          <w:color w:val="E86811"/>
          <w:sz w:val="44"/>
        </w:rPr>
        <w:t>Source Notes</w:t>
      </w:r>
    </w:p>
    <w:p w14:paraId="4EAEC832" w14:textId="77777777" w:rsidR="005722C8" w:rsidRPr="00C41A85" w:rsidRDefault="006D035E">
      <w:pPr>
        <w:spacing w:after="80" w:line="240" w:lineRule="auto"/>
        <w:rPr>
          <w:sz w:val="18"/>
          <w:szCs w:val="18"/>
        </w:rPr>
      </w:pPr>
      <w:r w:rsidRPr="00C41A85">
        <w:rPr>
          <w:rFonts w:ascii="Aptos" w:hAnsi="Aptos"/>
          <w:b/>
          <w:color w:val="E86811"/>
          <w:sz w:val="18"/>
          <w:szCs w:val="18"/>
        </w:rPr>
        <w:t xml:space="preserve">1. </w:t>
      </w:r>
      <w:r w:rsidRPr="00C41A85">
        <w:rPr>
          <w:rFonts w:ascii="Aptos" w:hAnsi="Aptos"/>
          <w:sz w:val="18"/>
          <w:szCs w:val="18"/>
        </w:rPr>
        <w:t>NIST AI Risk Management Framework. The AI RMF Core is organized around Govern, Map, Measure, and Manage functions. Source: https://airc.nist.gov/airmf-resources/airmf/5-sec-core/</w:t>
      </w:r>
    </w:p>
    <w:p w14:paraId="22430D91" w14:textId="77777777" w:rsidR="005722C8" w:rsidRPr="00C41A85" w:rsidRDefault="006D035E">
      <w:pPr>
        <w:spacing w:after="80" w:line="240" w:lineRule="auto"/>
        <w:rPr>
          <w:sz w:val="18"/>
          <w:szCs w:val="18"/>
        </w:rPr>
      </w:pPr>
      <w:r w:rsidRPr="00C41A85">
        <w:rPr>
          <w:rFonts w:ascii="Aptos" w:hAnsi="Aptos"/>
          <w:b/>
          <w:color w:val="E86811"/>
          <w:sz w:val="18"/>
          <w:szCs w:val="18"/>
        </w:rPr>
        <w:t xml:space="preserve">2. </w:t>
      </w:r>
      <w:r w:rsidRPr="00C41A85">
        <w:rPr>
          <w:rFonts w:ascii="Aptos" w:hAnsi="Aptos"/>
          <w:sz w:val="18"/>
          <w:szCs w:val="18"/>
        </w:rPr>
        <w:t>OECD AI Principles. Accountability includes traceability in relation to datasets, processes, and decisions made during the AI system lifecycle. Source: https://oecd.ai/en/dashboards/ai-principles/P9</w:t>
      </w:r>
    </w:p>
    <w:p w14:paraId="016C40A2" w14:textId="77777777" w:rsidR="005722C8" w:rsidRPr="00C41A85" w:rsidRDefault="006D035E">
      <w:pPr>
        <w:spacing w:after="80" w:line="240" w:lineRule="auto"/>
        <w:rPr>
          <w:sz w:val="18"/>
          <w:szCs w:val="18"/>
        </w:rPr>
      </w:pPr>
      <w:r w:rsidRPr="00C41A85">
        <w:rPr>
          <w:rFonts w:ascii="Aptos" w:hAnsi="Aptos"/>
          <w:b/>
          <w:color w:val="E86811"/>
          <w:sz w:val="18"/>
          <w:szCs w:val="18"/>
        </w:rPr>
        <w:t xml:space="preserve">3. </w:t>
      </w:r>
      <w:r w:rsidRPr="00C41A85">
        <w:rPr>
          <w:rFonts w:ascii="Aptos" w:hAnsi="Aptos"/>
          <w:sz w:val="18"/>
          <w:szCs w:val="18"/>
        </w:rPr>
        <w:t xml:space="preserve">EU AI Act, Chapter III, Section 2. Requirements for </w:t>
      </w:r>
      <w:proofErr w:type="gramStart"/>
      <w:r w:rsidRPr="00C41A85">
        <w:rPr>
          <w:rFonts w:ascii="Aptos" w:hAnsi="Aptos"/>
          <w:sz w:val="18"/>
          <w:szCs w:val="18"/>
        </w:rPr>
        <w:t>high risk</w:t>
      </w:r>
      <w:proofErr w:type="gramEnd"/>
      <w:r w:rsidRPr="00C41A85">
        <w:rPr>
          <w:rFonts w:ascii="Aptos" w:hAnsi="Aptos"/>
          <w:sz w:val="18"/>
          <w:szCs w:val="18"/>
        </w:rPr>
        <w:t xml:space="preserve"> AI systems include risk management, technical documentation, record keeping, transparency to deployers, human oversight, and accuracy, robustness, and cybersecurity. Source: https://artificialintelligenceact.eu/section/3-2/</w:t>
      </w:r>
    </w:p>
    <w:p w14:paraId="75A87777" w14:textId="77777777" w:rsidR="0006241E" w:rsidRPr="0009179E" w:rsidRDefault="0006241E" w:rsidP="0006241E">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5AFC1467" w14:textId="77777777" w:rsidR="0006241E" w:rsidRPr="0009179E" w:rsidRDefault="0006241E" w:rsidP="0006241E">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30F828DF" w14:textId="0C0D4F50" w:rsidR="005722C8" w:rsidRDefault="005722C8" w:rsidP="0006241E">
      <w:pPr>
        <w:spacing w:before="120"/>
      </w:pPr>
    </w:p>
    <w:sectPr w:rsidR="005722C8" w:rsidSect="00034616">
      <w:headerReference w:type="default" r:id="rId10"/>
      <w:footerReference w:type="default" r:id="rId11"/>
      <w:pgSz w:w="12240" w:h="15840"/>
      <w:pgMar w:top="576"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25395" w14:textId="77777777" w:rsidR="00A93EAE" w:rsidRDefault="00A93EAE">
      <w:pPr>
        <w:spacing w:after="0" w:line="240" w:lineRule="auto"/>
      </w:pPr>
      <w:r>
        <w:separator/>
      </w:r>
    </w:p>
  </w:endnote>
  <w:endnote w:type="continuationSeparator" w:id="0">
    <w:p w14:paraId="07D164D0" w14:textId="77777777" w:rsidR="00A93EAE" w:rsidRDefault="00A9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6AA6" w14:textId="77777777" w:rsidR="005722C8" w:rsidRDefault="006D035E">
    <w:pPr>
      <w:pStyle w:val="Footer"/>
      <w:jc w:val="center"/>
    </w:pPr>
    <w:r>
      <w:rPr>
        <w:rFonts w:ascii="Aptos" w:hAnsi="Aptos"/>
        <w:color w:val="787878"/>
        <w:sz w:val="16"/>
      </w:rPr>
      <w:t>Why The Market Has Checklists, Summaries, And Timelines, But Not Authority Infrastructure.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6369" w14:textId="77777777" w:rsidR="00A93EAE" w:rsidRDefault="00A93EAE">
      <w:pPr>
        <w:spacing w:after="0" w:line="240" w:lineRule="auto"/>
      </w:pPr>
      <w:r>
        <w:separator/>
      </w:r>
    </w:p>
  </w:footnote>
  <w:footnote w:type="continuationSeparator" w:id="0">
    <w:p w14:paraId="3BCFE120" w14:textId="77777777" w:rsidR="00A93EAE" w:rsidRDefault="00A93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76F7" w14:textId="77777777" w:rsidR="005722C8" w:rsidRDefault="006D035E">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931306">
    <w:abstractNumId w:val="8"/>
  </w:num>
  <w:num w:numId="2" w16cid:durableId="2077314599">
    <w:abstractNumId w:val="6"/>
  </w:num>
  <w:num w:numId="3" w16cid:durableId="1304038436">
    <w:abstractNumId w:val="5"/>
  </w:num>
  <w:num w:numId="4" w16cid:durableId="1597783973">
    <w:abstractNumId w:val="4"/>
  </w:num>
  <w:num w:numId="5" w16cid:durableId="1624338662">
    <w:abstractNumId w:val="7"/>
  </w:num>
  <w:num w:numId="6" w16cid:durableId="104354634">
    <w:abstractNumId w:val="3"/>
  </w:num>
  <w:num w:numId="7" w16cid:durableId="135419845">
    <w:abstractNumId w:val="2"/>
  </w:num>
  <w:num w:numId="8" w16cid:durableId="973605748">
    <w:abstractNumId w:val="1"/>
  </w:num>
  <w:num w:numId="9" w16cid:durableId="164989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41E"/>
    <w:rsid w:val="0015074B"/>
    <w:rsid w:val="0029639D"/>
    <w:rsid w:val="00326F90"/>
    <w:rsid w:val="005722C8"/>
    <w:rsid w:val="006D035E"/>
    <w:rsid w:val="00802C62"/>
    <w:rsid w:val="00943EC2"/>
    <w:rsid w:val="009C15E7"/>
    <w:rsid w:val="00A93EAE"/>
    <w:rsid w:val="00AA1D8D"/>
    <w:rsid w:val="00B47730"/>
    <w:rsid w:val="00C41A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CD5D3"/>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2026-05-11T21:23:00Z</dcterms:created>
  <dcterms:modified xsi:type="dcterms:W3CDTF">2026-05-11T21:46:00Z</dcterms:modified>
  <cp:category/>
</cp:coreProperties>
</file>