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82BD" w14:textId="77777777" w:rsidR="009842D8" w:rsidRDefault="00FB3CAF">
      <w:pPr>
        <w:spacing w:after="240"/>
        <w:jc w:val="center"/>
      </w:pPr>
      <w:r>
        <w:rPr>
          <w:noProof/>
        </w:rPr>
        <w:drawing>
          <wp:inline distT="0" distB="0" distL="0" distR="0" wp14:anchorId="277D81C3" wp14:editId="425A91D3">
            <wp:extent cx="680212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20_hero.png"/>
                    <pic:cNvPicPr/>
                  </pic:nvPicPr>
                  <pic:blipFill>
                    <a:blip r:embed="rId8"/>
                    <a:stretch>
                      <a:fillRect/>
                    </a:stretch>
                  </pic:blipFill>
                  <pic:spPr>
                    <a:xfrm>
                      <a:off x="0" y="0"/>
                      <a:ext cx="6804692"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52"/>
        <w:gridCol w:w="3552"/>
        <w:gridCol w:w="3552"/>
      </w:tblGrid>
      <w:tr w:rsidR="009842D8" w14:paraId="346965C3" w14:textId="77777777">
        <w:trPr>
          <w:jc w:val="center"/>
        </w:trPr>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71567BDA" w14:textId="77777777" w:rsidR="009842D8" w:rsidRDefault="00FB3CAF">
            <w:pPr>
              <w:spacing w:after="40"/>
              <w:jc w:val="center"/>
            </w:pPr>
            <w:r>
              <w:rPr>
                <w:rFonts w:ascii="Aptos" w:hAnsi="Aptos"/>
                <w:b/>
                <w:color w:val="E86811"/>
                <w:sz w:val="20"/>
              </w:rPr>
              <w:t>ESTIMATED READ TIME</w:t>
            </w:r>
            <w:r>
              <w:rPr>
                <w:rFonts w:ascii="Aptos" w:hAnsi="Aptos"/>
                <w:b/>
                <w:color w:val="E86811"/>
                <w:sz w:val="20"/>
              </w:rPr>
              <w:br/>
            </w:r>
            <w:r>
              <w:rPr>
                <w:rFonts w:ascii="Aptos" w:hAnsi="Aptos"/>
                <w:b/>
                <w:sz w:val="24"/>
              </w:rPr>
              <w:t>4 minutes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1DDA4951" w14:textId="77777777" w:rsidR="009842D8" w:rsidRDefault="00FB3CAF">
            <w:pPr>
              <w:spacing w:after="40"/>
              <w:jc w:val="center"/>
            </w:pPr>
            <w:r>
              <w:rPr>
                <w:rFonts w:ascii="Aptos" w:hAnsi="Aptos"/>
                <w:b/>
                <w:color w:val="E86811"/>
                <w:sz w:val="20"/>
              </w:rPr>
              <w:t>APPROXIMATE WORD COUNT</w:t>
            </w:r>
            <w:r>
              <w:rPr>
                <w:rFonts w:ascii="Aptos" w:hAnsi="Aptos"/>
                <w:b/>
                <w:color w:val="E86811"/>
                <w:sz w:val="20"/>
              </w:rPr>
              <w:br/>
            </w:r>
            <w:r>
              <w:rPr>
                <w:rFonts w:ascii="Aptos" w:hAnsi="Aptos"/>
                <w:b/>
                <w:sz w:val="24"/>
              </w:rPr>
              <w:t>890 words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5A3B6A49" w14:textId="77777777" w:rsidR="009842D8" w:rsidRDefault="00FB3CAF">
            <w:pPr>
              <w:spacing w:after="40"/>
              <w:jc w:val="center"/>
            </w:pPr>
            <w:r>
              <w:rPr>
                <w:rFonts w:ascii="Aptos" w:hAnsi="Aptos"/>
                <w:b/>
                <w:color w:val="E86811"/>
                <w:sz w:val="20"/>
              </w:rPr>
              <w:t>PURPOSE</w:t>
            </w:r>
            <w:r>
              <w:rPr>
                <w:rFonts w:ascii="Aptos" w:hAnsi="Aptos"/>
                <w:b/>
                <w:color w:val="E86811"/>
                <w:sz w:val="20"/>
              </w:rPr>
              <w:br/>
            </w:r>
            <w:r>
              <w:rPr>
                <w:rFonts w:ascii="Aptos" w:hAnsi="Aptos"/>
                <w:b/>
                <w:sz w:val="24"/>
              </w:rPr>
              <w:t>Thought leadership essay</w:t>
            </w:r>
          </w:p>
        </w:tc>
      </w:tr>
    </w:tbl>
    <w:tbl>
      <w:tblPr>
        <w:tblW w:w="0" w:type="auto"/>
        <w:jc w:val="center"/>
        <w:tblLook w:val="04A0" w:firstRow="1" w:lastRow="0" w:firstColumn="1" w:lastColumn="0" w:noHBand="0" w:noVBand="1"/>
      </w:tblPr>
      <w:tblGrid>
        <w:gridCol w:w="10616"/>
      </w:tblGrid>
      <w:tr w:rsidR="009842D8" w14:paraId="05C3A60C" w14:textId="77777777" w:rsidTr="00401BA0">
        <w:trPr>
          <w:trHeight w:val="923"/>
          <w:jc w:val="center"/>
        </w:trPr>
        <w:tc>
          <w:tcPr>
            <w:tcW w:w="10656" w:type="dxa"/>
            <w:tcBorders>
              <w:top w:val="single" w:sz="16" w:space="0" w:color="E86811"/>
              <w:left w:val="single" w:sz="16" w:space="0" w:color="E86811"/>
              <w:bottom w:val="single" w:sz="16" w:space="0" w:color="E86811"/>
              <w:right w:val="single" w:sz="16" w:space="0" w:color="E86811"/>
            </w:tcBorders>
            <w:shd w:val="clear" w:color="auto" w:fill="0B1012"/>
          </w:tcPr>
          <w:p w14:paraId="4A71AB40" w14:textId="77777777" w:rsidR="009842D8" w:rsidRDefault="00FB3CAF" w:rsidP="00401BA0">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Agentic AI turns governance from a policy concern into an execution control problem because AI systems can move work closer to action before authority has been tested.</w:t>
            </w:r>
          </w:p>
        </w:tc>
      </w:tr>
    </w:tbl>
    <w:p w14:paraId="3DC5CE23" w14:textId="77777777" w:rsidR="009842D8" w:rsidRPr="001F53B5" w:rsidRDefault="00FB3CAF">
      <w:pPr>
        <w:spacing w:before="300" w:after="140"/>
        <w:rPr>
          <w:rFonts w:ascii="Georgia" w:hAnsi="Georgia"/>
        </w:rPr>
      </w:pPr>
      <w:r w:rsidRPr="001F53B5">
        <w:rPr>
          <w:rFonts w:ascii="Georgia" w:hAnsi="Georgia"/>
          <w:b/>
          <w:color w:val="E86811"/>
          <w:sz w:val="44"/>
        </w:rPr>
        <w:t>Essay</w:t>
      </w:r>
    </w:p>
    <w:p w14:paraId="6881DBE5" w14:textId="77777777" w:rsidR="009842D8" w:rsidRPr="001F53B5" w:rsidRDefault="00FB3CAF">
      <w:pPr>
        <w:spacing w:after="160" w:line="259" w:lineRule="auto"/>
      </w:pPr>
      <w:r w:rsidRPr="001F53B5">
        <w:rPr>
          <w:rFonts w:ascii="Aptos" w:hAnsi="Aptos"/>
          <w:b/>
        </w:rPr>
        <w:t>Decision Governance will become unavoidable because agentic AI changes the control problem from output review to workflow movement. Enterprises can tolerate weak governance language while AI remains mostly advisory. Once AI systems begin planning tasks, using tools, navigating systems, drafting work, routing actions, filling forms, editing files, triggering handoffs, or influencing operational decisions, the enterprise has to govern more than content. It has to govern movement toward consequence.</w:t>
      </w:r>
    </w:p>
    <w:p w14:paraId="58DDCF75" w14:textId="77777777" w:rsidR="009842D8" w:rsidRPr="001F53B5" w:rsidRDefault="00FB3CAF">
      <w:pPr>
        <w:spacing w:after="160" w:line="259" w:lineRule="auto"/>
      </w:pPr>
      <w:r w:rsidRPr="001F53B5">
        <w:rPr>
          <w:rFonts w:ascii="Aptos" w:hAnsi="Aptos"/>
        </w:rPr>
        <w:t>The market is crossing that line now. OpenAI describes ChatGPT agent as capable of reasoning, researching, and taking actions on a user's behalf, including navigating websites, working with uploaded files, connecting to third party data sources, filling out forms, and editing spreadsheets while keeping the user in control. OpenAI's product language confirms the direction of enterprise AI: systems are no longer limited to producing text. They are becoming task participants inside real workflows.</w:t>
      </w:r>
      <w:r w:rsidRPr="001F53B5">
        <w:rPr>
          <w:rFonts w:ascii="Aptos" w:hAnsi="Aptos"/>
          <w:color w:val="E86811"/>
          <w:vertAlign w:val="superscript"/>
        </w:rPr>
        <w:t>1</w:t>
      </w:r>
    </w:p>
    <w:p w14:paraId="506CB197" w14:textId="77777777" w:rsidR="009842D8" w:rsidRPr="001F53B5" w:rsidRDefault="00FB3CAF">
      <w:pPr>
        <w:spacing w:after="160" w:line="259" w:lineRule="auto"/>
      </w:pPr>
      <w:r w:rsidRPr="001F53B5">
        <w:rPr>
          <w:rFonts w:ascii="Aptos" w:hAnsi="Aptos"/>
        </w:rPr>
        <w:t>A task participant creates a different risk profile than a content generator. A generated paragraph can be reviewed before use. A workflow participant can change sequence, timing, routing, evidence, approval pressure, and downstream reliance before the organization fully recognizes the decision path has shifted. The issue is not that agents are inherently unsafe. The issue is that agentic behavior creates movement, and movement requires authority.</w:t>
      </w:r>
    </w:p>
    <w:p w14:paraId="74E5D1E2" w14:textId="77777777" w:rsidR="009842D8" w:rsidRPr="001F53B5" w:rsidRDefault="00FB3CAF">
      <w:pPr>
        <w:spacing w:after="160" w:line="259" w:lineRule="auto"/>
      </w:pPr>
      <w:r w:rsidRPr="001F53B5">
        <w:rPr>
          <w:rFonts w:ascii="Aptos" w:hAnsi="Aptos"/>
        </w:rPr>
        <w:t>Traditional AI governance programs were not designed for this level of operational participation. Many programs still focus on model inventories, acceptable use policies, use case reviews, risk classifications, training, vendor reviews, and governance committees. Those controls can support enterprise discipline. They do not fully answer the execution question created by agentic AI: what is the AI system allowed to move, trigger, route, suggest, or prepare before a human or system acts on it?</w:t>
      </w:r>
    </w:p>
    <w:p w14:paraId="2FB1B7C0" w14:textId="77777777" w:rsidR="009842D8" w:rsidRPr="001F53B5" w:rsidRDefault="00FB3CAF">
      <w:pPr>
        <w:spacing w:after="160" w:line="259" w:lineRule="auto"/>
      </w:pPr>
      <w:r w:rsidRPr="001F53B5">
        <w:rPr>
          <w:rFonts w:ascii="Aptos" w:hAnsi="Aptos"/>
        </w:rPr>
        <w:t>NIST's AI Risk Management Framework provides a useful foundation because it organizes AI risk management through Govern, Map, Measure, and Manage functions. This structure helps enterprises manage AI risk across technical and organizational contexts. Agentic AI pushes the next requirement into the foreground. Governance has to connect those risk functions to authority at the point where AI influenced work becomes eligible for action.</w:t>
      </w:r>
      <w:r w:rsidRPr="001F53B5">
        <w:rPr>
          <w:rFonts w:ascii="Aptos" w:hAnsi="Aptos"/>
          <w:color w:val="E86811"/>
          <w:vertAlign w:val="superscript"/>
        </w:rPr>
        <w:t>2</w:t>
      </w:r>
    </w:p>
    <w:p w14:paraId="4FE302E9" w14:textId="77777777" w:rsidR="009842D8" w:rsidRPr="001F53B5" w:rsidRDefault="00FB3CAF">
      <w:pPr>
        <w:spacing w:after="160" w:line="259" w:lineRule="auto"/>
      </w:pPr>
      <w:r w:rsidRPr="001F53B5">
        <w:rPr>
          <w:rFonts w:ascii="Aptos" w:hAnsi="Aptos"/>
        </w:rPr>
        <w:t xml:space="preserve">The practical exposure appears in ordinary enterprise workflows. An agent may summarize a customer dispute, recommend the next response, prepare the email, attach supporting material, and place the work in a queue for </w:t>
      </w:r>
      <w:r w:rsidRPr="001F53B5">
        <w:rPr>
          <w:rFonts w:ascii="Aptos" w:hAnsi="Aptos"/>
        </w:rPr>
        <w:lastRenderedPageBreak/>
        <w:t>approval. A manager may still click send. The authority question remains open if the organization cannot prove which part of the decision path was shaped by AI, what condition required review, who held authority over the consequence, and what evidence existed before the response moved forward.</w:t>
      </w:r>
    </w:p>
    <w:p w14:paraId="52F38D65" w14:textId="77777777" w:rsidR="009842D8" w:rsidRPr="001F53B5" w:rsidRDefault="00FB3CAF">
      <w:pPr>
        <w:spacing w:after="160" w:line="259" w:lineRule="auto"/>
      </w:pPr>
      <w:r w:rsidRPr="001F53B5">
        <w:rPr>
          <w:rFonts w:ascii="Aptos" w:hAnsi="Aptos"/>
        </w:rPr>
        <w:t>A human click at the end of a workflow is not enough when the workflow itself has been shaped by AI. The enterprise has to understand where the agent influenced the work before that click occurred. If the agent selected the source material, framed the recommendation, compressed the options, suggested the action, or routed the file, then the decision path has already been altered. The organization needs a governance layer that sees that alteration before consequence is created.</w:t>
      </w:r>
    </w:p>
    <w:p w14:paraId="648432FB" w14:textId="77777777" w:rsidR="009842D8" w:rsidRPr="001F53B5" w:rsidRDefault="00FB3CAF">
      <w:pPr>
        <w:spacing w:after="160" w:line="259" w:lineRule="auto"/>
      </w:pPr>
      <w:r w:rsidRPr="001F53B5">
        <w:rPr>
          <w:rFonts w:ascii="Aptos" w:hAnsi="Aptos"/>
        </w:rPr>
        <w:t>This is why Decision Governance is distinct from model governance. Model governance can help the enterprise assess whether a model is known, monitored, tested, and managed. Decision Governance asks whether the AI influenced decision path was authorized before action moved forward. Agentic AI makes that distinction harder to avoid because the system can participate in the path, not merely produce an isolated output.</w:t>
      </w:r>
    </w:p>
    <w:p w14:paraId="3EA4B87A" w14:textId="77777777" w:rsidR="009842D8" w:rsidRPr="001F53B5" w:rsidRDefault="00FB3CAF">
      <w:pPr>
        <w:spacing w:after="160" w:line="259" w:lineRule="auto"/>
      </w:pPr>
      <w:r w:rsidRPr="001F53B5">
        <w:rPr>
          <w:rFonts w:ascii="Aptos" w:hAnsi="Aptos"/>
        </w:rPr>
        <w:t xml:space="preserve">The EU AI Act reinforces the same direction through its focus on human oversight for </w:t>
      </w:r>
      <w:proofErr w:type="gramStart"/>
      <w:r w:rsidRPr="001F53B5">
        <w:rPr>
          <w:rFonts w:ascii="Aptos" w:hAnsi="Aptos"/>
        </w:rPr>
        <w:t>high risk</w:t>
      </w:r>
      <w:proofErr w:type="gramEnd"/>
      <w:r w:rsidRPr="001F53B5">
        <w:rPr>
          <w:rFonts w:ascii="Aptos" w:hAnsi="Aptos"/>
        </w:rPr>
        <w:t xml:space="preserve"> AI systems. Article 14 states that human oversight should aim to prevent or minimize risks to health, safety, or fundamental rights during use. Oversight language becomes operationally meaningful only when an enterprise can define what the human is overseeing, when intervention is required, and which authority conditions apply before the system's output or action affects the real world.</w:t>
      </w:r>
      <w:r w:rsidRPr="001F53B5">
        <w:rPr>
          <w:rFonts w:ascii="Aptos" w:hAnsi="Aptos"/>
          <w:color w:val="E86811"/>
          <w:vertAlign w:val="superscript"/>
        </w:rPr>
        <w:t>3</w:t>
      </w:r>
    </w:p>
    <w:p w14:paraId="5045EC5F" w14:textId="77777777" w:rsidR="009842D8" w:rsidRPr="001F53B5" w:rsidRDefault="00FB3CAF">
      <w:pPr>
        <w:spacing w:after="160" w:line="259" w:lineRule="auto"/>
      </w:pPr>
      <w:r w:rsidRPr="001F53B5">
        <w:rPr>
          <w:rFonts w:ascii="Aptos" w:hAnsi="Aptos"/>
        </w:rPr>
        <w:t>A compliance team may approve an AI use case, but an agent may later operate in ways the original review did not anticipate. It may rely on different context, route work to different reviewers, create drafts that become trusted too quickly, or trigger decisions through adjacent systems. The review record may say the system was approved. The live workflow may already be exposing a new authority path.</w:t>
      </w:r>
    </w:p>
    <w:tbl>
      <w:tblPr>
        <w:tblW w:w="0" w:type="auto"/>
        <w:jc w:val="center"/>
        <w:tblLayout w:type="fixed"/>
        <w:tblLook w:val="04A0" w:firstRow="1" w:lastRow="0" w:firstColumn="1" w:lastColumn="0" w:noHBand="0" w:noVBand="1"/>
      </w:tblPr>
      <w:tblGrid>
        <w:gridCol w:w="1800"/>
        <w:gridCol w:w="8856"/>
      </w:tblGrid>
      <w:tr w:rsidR="009842D8" w14:paraId="4FEC8117" w14:textId="77777777" w:rsidTr="00401BA0">
        <w:trPr>
          <w:jc w:val="center"/>
        </w:trPr>
        <w:tc>
          <w:tcPr>
            <w:tcW w:w="1800" w:type="dxa"/>
            <w:tcBorders>
              <w:top w:val="single" w:sz="10" w:space="0" w:color="E86811"/>
              <w:left w:val="single" w:sz="10" w:space="0" w:color="E86811"/>
              <w:bottom w:val="single" w:sz="10" w:space="0" w:color="E86811"/>
              <w:right w:val="single" w:sz="10" w:space="0" w:color="E86811"/>
            </w:tcBorders>
            <w:shd w:val="clear" w:color="auto" w:fill="0B1012"/>
            <w:vAlign w:val="center"/>
          </w:tcPr>
          <w:p w14:paraId="2589E05D" w14:textId="77777777" w:rsidR="009842D8" w:rsidRDefault="00FB3CAF" w:rsidP="00401BA0">
            <w:r>
              <w:rPr>
                <w:noProof/>
              </w:rPr>
              <w:drawing>
                <wp:inline distT="0" distB="0" distL="0" distR="0" wp14:anchorId="209ADB1E" wp14:editId="6FD4DB39">
                  <wp:extent cx="1005840" cy="100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20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0" w:space="0" w:color="E86811"/>
              <w:left w:val="single" w:sz="10" w:space="0" w:color="E86811"/>
              <w:bottom w:val="single" w:sz="10" w:space="0" w:color="E86811"/>
              <w:right w:val="single" w:sz="10" w:space="0" w:color="E86811"/>
            </w:tcBorders>
            <w:shd w:val="clear" w:color="auto" w:fill="F9F6F1"/>
            <w:vAlign w:val="center"/>
          </w:tcPr>
          <w:p w14:paraId="3571202F" w14:textId="77777777" w:rsidR="009842D8" w:rsidRDefault="00FB3CAF" w:rsidP="00401BA0">
            <w:pPr>
              <w:spacing w:after="0" w:line="240" w:lineRule="auto"/>
              <w:jc w:val="center"/>
            </w:pPr>
            <w:r>
              <w:rPr>
                <w:rFonts w:ascii="Aptos" w:hAnsi="Aptos"/>
                <w:b/>
                <w:color w:val="E86811"/>
              </w:rPr>
              <w:t>MICRO EXAMPLE:</w:t>
            </w:r>
            <w:r>
              <w:rPr>
                <w:rFonts w:ascii="Aptos" w:hAnsi="Aptos"/>
                <w:b/>
                <w:color w:val="E86811"/>
              </w:rPr>
              <w:br/>
            </w:r>
            <w:r>
              <w:rPr>
                <w:rFonts w:ascii="Aptos" w:hAnsi="Aptos"/>
                <w:b/>
              </w:rPr>
              <w:t>An agent may prepare a customer response for human approval, but if it selected the facts, framed the options, and recommended the outcome, the authority path has already been shaped before the human clicks send.</w:t>
            </w:r>
          </w:p>
        </w:tc>
      </w:tr>
    </w:tbl>
    <w:p w14:paraId="3B1A386A" w14:textId="77777777" w:rsidR="00401BA0" w:rsidRDefault="00401BA0">
      <w:pPr>
        <w:spacing w:after="160" w:line="259" w:lineRule="auto"/>
        <w:rPr>
          <w:rFonts w:ascii="Aptos" w:hAnsi="Aptos"/>
          <w:sz w:val="21"/>
        </w:rPr>
      </w:pPr>
    </w:p>
    <w:p w14:paraId="3F213D47" w14:textId="16544CFD" w:rsidR="009842D8" w:rsidRPr="001F53B5" w:rsidRDefault="00FB3CAF">
      <w:pPr>
        <w:spacing w:after="160" w:line="259" w:lineRule="auto"/>
      </w:pPr>
      <w:r w:rsidRPr="001F53B5">
        <w:rPr>
          <w:rFonts w:ascii="Aptos" w:hAnsi="Aptos"/>
        </w:rPr>
        <w:t>A customer service agent may not issue refunds directly, yet it may summarize a complaint, recommend compensation, prepare the customer message, and route the case as routine. The employee may believe the final decision remains human. The organization still needs to know whether the AI shaped the option set, lowered the review threshold, or moved a consequential customer outcome through the wrong authority path.</w:t>
      </w:r>
    </w:p>
    <w:p w14:paraId="7938922C" w14:textId="77777777" w:rsidR="009842D8" w:rsidRPr="001F53B5" w:rsidRDefault="00FB3CAF">
      <w:pPr>
        <w:spacing w:after="160" w:line="259" w:lineRule="auto"/>
      </w:pPr>
      <w:r w:rsidRPr="001F53B5">
        <w:rPr>
          <w:rFonts w:ascii="Aptos" w:hAnsi="Aptos"/>
        </w:rPr>
        <w:t>The OECD AI Principles connect accountability to roles, context, and traceability across datasets, processes, and decisions made during the AI system lifecycle. This language becomes more urgent as agentic systems enter workflows because accountability has to follow the decision path, not only the model asset. Enterprises will need to trace what the agent did, what it influenced, who relied on it, which control condition applied, and why the action was permitted.</w:t>
      </w:r>
      <w:r w:rsidRPr="001F53B5">
        <w:rPr>
          <w:rFonts w:ascii="Aptos" w:hAnsi="Aptos"/>
          <w:color w:val="E86811"/>
          <w:vertAlign w:val="superscript"/>
        </w:rPr>
        <w:t>4</w:t>
      </w:r>
    </w:p>
    <w:p w14:paraId="0A4CA9D5" w14:textId="77777777" w:rsidR="009842D8" w:rsidRPr="001F53B5" w:rsidRDefault="00FB3CAF">
      <w:pPr>
        <w:spacing w:after="160" w:line="259" w:lineRule="auto"/>
      </w:pPr>
      <w:r w:rsidRPr="001F53B5">
        <w:rPr>
          <w:rFonts w:ascii="Aptos" w:hAnsi="Aptos"/>
        </w:rPr>
        <w:t>Decision Governance becomes unavoidable when enterprises recognize that AI governance cannot stop at awareness. Awareness tells the company which AI systems exist. Decision Governance tells the company whether AI influenced work was permitted to move. The difference becomes material once AI can act through tools, files, forms, systems, queues, approvals, and recommendations that shape business outcomes.</w:t>
      </w:r>
    </w:p>
    <w:p w14:paraId="3A1C0FFE" w14:textId="77777777" w:rsidR="009842D8" w:rsidRPr="001F53B5" w:rsidRDefault="00FB3CAF">
      <w:pPr>
        <w:spacing w:after="160" w:line="259" w:lineRule="auto"/>
      </w:pPr>
      <w:r w:rsidRPr="001F53B5">
        <w:rPr>
          <w:rFonts w:ascii="Aptos" w:hAnsi="Aptos"/>
        </w:rPr>
        <w:lastRenderedPageBreak/>
        <w:t>Agentic AI also exposes the weakness of informal accountability. Teams often believe accountability remains intact because a human supervisor, manager, analyst, lawyer, engineer, clinician, or compliance officer remains somewhere in the workflow. The assumption fails when the agent changes the work before the person reviews it. Authority has to attach to the shaped decision path, not only to the final user who approves the visible output.</w:t>
      </w:r>
    </w:p>
    <w:p w14:paraId="619E6547" w14:textId="77777777" w:rsidR="009842D8" w:rsidRPr="001F53B5" w:rsidRDefault="00FB3CAF">
      <w:pPr>
        <w:spacing w:after="160" w:line="259" w:lineRule="auto"/>
      </w:pPr>
      <w:r w:rsidRPr="001F53B5">
        <w:rPr>
          <w:rFonts w:ascii="Aptos" w:hAnsi="Aptos"/>
        </w:rPr>
        <w:t>The enterprise response cannot be another static checklist. Checklists can help teams prepare. Policies can set expectations. Inventories can identify systems. Readiness timelines can organize work. Agentic AI requires a control layer that evaluates AI participation at the point of movement, applies authority logic, routes review, captures evidence, and prevents work from becoming action when the authority path is incomplete.</w:t>
      </w:r>
    </w:p>
    <w:p w14:paraId="14A0451D" w14:textId="77777777" w:rsidR="009842D8" w:rsidRPr="001F53B5" w:rsidRDefault="00FB3CAF">
      <w:pPr>
        <w:spacing w:after="160" w:line="259" w:lineRule="auto"/>
      </w:pPr>
      <w:r w:rsidRPr="001F53B5">
        <w:rPr>
          <w:rFonts w:ascii="Aptos" w:hAnsi="Aptos"/>
        </w:rPr>
        <w:t>This is the category opening. As agentic AI enters real workflows, enterprises will need a discipline for governing how AI participation changes decisions before execution. They will need authority mapping, trigger logic, escalation paths, override control, drift detection, audit evidence, and decision traceability tied to the work itself. Decision Governance names that operating discipline.</w:t>
      </w:r>
    </w:p>
    <w:p w14:paraId="638827B9" w14:textId="77777777" w:rsidR="009842D8" w:rsidRPr="001F53B5" w:rsidRDefault="00FB3CAF">
      <w:pPr>
        <w:spacing w:after="160" w:line="259" w:lineRule="auto"/>
      </w:pPr>
      <w:r w:rsidRPr="001F53B5">
        <w:rPr>
          <w:rFonts w:ascii="Aptos" w:hAnsi="Aptos"/>
        </w:rPr>
        <w:t xml:space="preserve">The next </w:t>
      </w:r>
      <w:proofErr w:type="gramStart"/>
      <w:r w:rsidRPr="001F53B5">
        <w:rPr>
          <w:rFonts w:ascii="Aptos" w:hAnsi="Aptos"/>
        </w:rPr>
        <w:t>control frontier</w:t>
      </w:r>
      <w:proofErr w:type="gramEnd"/>
      <w:r w:rsidRPr="001F53B5">
        <w:rPr>
          <w:rFonts w:ascii="Aptos" w:hAnsi="Aptos"/>
        </w:rPr>
        <w:t xml:space="preserve"> is not whether enterprises will use agentic AI. They will. The next control frontier is whether they can prove what the agent was allowed to influence before the enterprise acted.</w:t>
      </w:r>
    </w:p>
    <w:tbl>
      <w:tblPr>
        <w:tblW w:w="0" w:type="auto"/>
        <w:jc w:val="center"/>
        <w:tblLayout w:type="fixed"/>
        <w:tblLook w:val="04A0" w:firstRow="1" w:lastRow="0" w:firstColumn="1" w:lastColumn="0" w:noHBand="0" w:noVBand="1"/>
      </w:tblPr>
      <w:tblGrid>
        <w:gridCol w:w="1890"/>
        <w:gridCol w:w="8766"/>
      </w:tblGrid>
      <w:tr w:rsidR="009842D8" w14:paraId="0399F1A9" w14:textId="77777777" w:rsidTr="00401BA0">
        <w:trPr>
          <w:jc w:val="center"/>
        </w:trPr>
        <w:tc>
          <w:tcPr>
            <w:tcW w:w="1890" w:type="dxa"/>
            <w:tcBorders>
              <w:top w:val="single" w:sz="12" w:space="0" w:color="E86811"/>
              <w:left w:val="single" w:sz="12" w:space="0" w:color="E86811"/>
              <w:bottom w:val="single" w:sz="12" w:space="0" w:color="E86811"/>
              <w:right w:val="single" w:sz="12" w:space="0" w:color="E86811"/>
            </w:tcBorders>
            <w:shd w:val="clear" w:color="auto" w:fill="0B1012"/>
            <w:vAlign w:val="center"/>
          </w:tcPr>
          <w:p w14:paraId="7968DB44" w14:textId="77777777" w:rsidR="009842D8" w:rsidRDefault="00FB3CAF" w:rsidP="00401BA0">
            <w:r>
              <w:rPr>
                <w:noProof/>
              </w:rPr>
              <w:drawing>
                <wp:inline distT="0" distB="0" distL="0" distR="0" wp14:anchorId="53EB04EE" wp14:editId="7A28F599">
                  <wp:extent cx="100584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20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766" w:type="dxa"/>
            <w:tcBorders>
              <w:top w:val="single" w:sz="12" w:space="0" w:color="E86811"/>
              <w:left w:val="single" w:sz="12" w:space="0" w:color="E86811"/>
              <w:bottom w:val="single" w:sz="12" w:space="0" w:color="E86811"/>
              <w:right w:val="single" w:sz="12" w:space="0" w:color="E86811"/>
            </w:tcBorders>
            <w:shd w:val="clear" w:color="auto" w:fill="F9F6F1"/>
            <w:vAlign w:val="center"/>
          </w:tcPr>
          <w:p w14:paraId="46B0B198" w14:textId="77777777" w:rsidR="009842D8" w:rsidRDefault="00FB3CAF" w:rsidP="00401BA0">
            <w:pPr>
              <w:spacing w:after="0" w:line="240" w:lineRule="auto"/>
              <w:jc w:val="center"/>
            </w:pPr>
            <w:r>
              <w:rPr>
                <w:rFonts w:ascii="Aptos" w:hAnsi="Aptos"/>
                <w:b/>
                <w:color w:val="E86811"/>
              </w:rPr>
              <w:t>CATEGORY CLAIM:</w:t>
            </w:r>
            <w:r>
              <w:rPr>
                <w:rFonts w:ascii="Aptos" w:hAnsi="Aptos"/>
                <w:b/>
                <w:color w:val="E86811"/>
              </w:rPr>
              <w:br/>
            </w:r>
            <w:r>
              <w:rPr>
                <w:rFonts w:ascii="Aptos" w:hAnsi="Aptos"/>
                <w:b/>
              </w:rPr>
              <w:t>Decision Governance will become unavoidable because agentic AI turns AI participation into enterprise movement that must be authorized before consequence is created.</w:t>
            </w:r>
          </w:p>
        </w:tc>
      </w:tr>
    </w:tbl>
    <w:p w14:paraId="43D880EA" w14:textId="77777777" w:rsidR="009842D8" w:rsidRPr="001F53B5" w:rsidRDefault="00FB3CAF">
      <w:pPr>
        <w:spacing w:before="300" w:after="140"/>
        <w:rPr>
          <w:rFonts w:ascii="Georgia" w:hAnsi="Georgia"/>
        </w:rPr>
      </w:pPr>
      <w:r w:rsidRPr="001F53B5">
        <w:rPr>
          <w:rFonts w:ascii="Georgia" w:hAnsi="Georgia"/>
          <w:b/>
          <w:color w:val="E86811"/>
          <w:sz w:val="44"/>
        </w:rPr>
        <w:t>Source Notes</w:t>
      </w:r>
    </w:p>
    <w:p w14:paraId="63D66467" w14:textId="77777777" w:rsidR="009842D8" w:rsidRPr="001F53B5" w:rsidRDefault="00FB3CAF">
      <w:pPr>
        <w:spacing w:after="80" w:line="240" w:lineRule="auto"/>
        <w:rPr>
          <w:sz w:val="18"/>
          <w:szCs w:val="18"/>
        </w:rPr>
      </w:pPr>
      <w:r w:rsidRPr="001F53B5">
        <w:rPr>
          <w:rFonts w:ascii="Aptos" w:hAnsi="Aptos"/>
          <w:b/>
          <w:color w:val="E86811"/>
          <w:sz w:val="18"/>
          <w:szCs w:val="18"/>
        </w:rPr>
        <w:t xml:space="preserve">1. </w:t>
      </w:r>
      <w:r w:rsidRPr="001F53B5">
        <w:rPr>
          <w:rFonts w:ascii="Aptos" w:hAnsi="Aptos"/>
          <w:sz w:val="18"/>
          <w:szCs w:val="18"/>
        </w:rPr>
        <w:t>OpenAI ChatGPT agent. OpenAI describes ChatGPT agent as able to reason, research, take actions on a user's behalf, navigate websites, work with uploaded files, connect to third party data sources, fill out forms, and edit spreadsheets while keeping the user in control. Source: https://help.openai.com/en/articles/11752874-chatgpt-agent</w:t>
      </w:r>
    </w:p>
    <w:p w14:paraId="32D6A3A1" w14:textId="77777777" w:rsidR="009842D8" w:rsidRPr="001F53B5" w:rsidRDefault="00FB3CAF">
      <w:pPr>
        <w:spacing w:after="80" w:line="240" w:lineRule="auto"/>
        <w:rPr>
          <w:sz w:val="18"/>
          <w:szCs w:val="18"/>
        </w:rPr>
      </w:pPr>
      <w:r w:rsidRPr="001F53B5">
        <w:rPr>
          <w:rFonts w:ascii="Aptos" w:hAnsi="Aptos"/>
          <w:b/>
          <w:color w:val="E86811"/>
          <w:sz w:val="18"/>
          <w:szCs w:val="18"/>
        </w:rPr>
        <w:t xml:space="preserve">2. </w:t>
      </w:r>
      <w:r w:rsidRPr="001F53B5">
        <w:rPr>
          <w:rFonts w:ascii="Aptos" w:hAnsi="Aptos"/>
          <w:sz w:val="18"/>
          <w:szCs w:val="18"/>
        </w:rPr>
        <w:t>NIST AI Risk Management Framework. The AI RMF Core is organized around Govern, Map, Measure, and Manage functions. Source: https://airc.nist.gov/airmf-resources/airmf/5-sec-core/</w:t>
      </w:r>
    </w:p>
    <w:p w14:paraId="6F5013A7" w14:textId="77777777" w:rsidR="009842D8" w:rsidRPr="001F53B5" w:rsidRDefault="00FB3CAF">
      <w:pPr>
        <w:spacing w:after="80" w:line="240" w:lineRule="auto"/>
        <w:rPr>
          <w:sz w:val="18"/>
          <w:szCs w:val="18"/>
        </w:rPr>
      </w:pPr>
      <w:r w:rsidRPr="001F53B5">
        <w:rPr>
          <w:rFonts w:ascii="Aptos" w:hAnsi="Aptos"/>
          <w:b/>
          <w:color w:val="E86811"/>
          <w:sz w:val="18"/>
          <w:szCs w:val="18"/>
        </w:rPr>
        <w:t xml:space="preserve">3. </w:t>
      </w:r>
      <w:r w:rsidRPr="001F53B5">
        <w:rPr>
          <w:rFonts w:ascii="Aptos" w:hAnsi="Aptos"/>
          <w:sz w:val="18"/>
          <w:szCs w:val="18"/>
        </w:rPr>
        <w:t xml:space="preserve">EU AI Act, Article 14. Human oversight for </w:t>
      </w:r>
      <w:proofErr w:type="gramStart"/>
      <w:r w:rsidRPr="001F53B5">
        <w:rPr>
          <w:rFonts w:ascii="Aptos" w:hAnsi="Aptos"/>
          <w:sz w:val="18"/>
          <w:szCs w:val="18"/>
        </w:rPr>
        <w:t>high risk</w:t>
      </w:r>
      <w:proofErr w:type="gramEnd"/>
      <w:r w:rsidRPr="001F53B5">
        <w:rPr>
          <w:rFonts w:ascii="Aptos" w:hAnsi="Aptos"/>
          <w:sz w:val="18"/>
          <w:szCs w:val="18"/>
        </w:rPr>
        <w:t xml:space="preserve"> AI systems aims to prevent or minimize risks to health, safety, or fundamental rights. Source: https://artificialintelligenceact.eu/article/14/</w:t>
      </w:r>
    </w:p>
    <w:p w14:paraId="6E0EE866" w14:textId="77777777" w:rsidR="009842D8" w:rsidRPr="001F53B5" w:rsidRDefault="00FB3CAF">
      <w:pPr>
        <w:spacing w:after="80" w:line="240" w:lineRule="auto"/>
        <w:rPr>
          <w:sz w:val="18"/>
          <w:szCs w:val="18"/>
        </w:rPr>
      </w:pPr>
      <w:r w:rsidRPr="001F53B5">
        <w:rPr>
          <w:rFonts w:ascii="Aptos" w:hAnsi="Aptos"/>
          <w:b/>
          <w:color w:val="E86811"/>
          <w:sz w:val="18"/>
          <w:szCs w:val="18"/>
        </w:rPr>
        <w:t xml:space="preserve">4. </w:t>
      </w:r>
      <w:r w:rsidRPr="001F53B5">
        <w:rPr>
          <w:rFonts w:ascii="Aptos" w:hAnsi="Aptos"/>
          <w:sz w:val="18"/>
          <w:szCs w:val="18"/>
        </w:rPr>
        <w:t>OECD AI Principles. Accountability includes traceability in relation to datasets, processes, and decisions made during the AI system lifecycle. Source: https://oecd.ai/en/dashboards/ai-principles/P9</w:t>
      </w:r>
    </w:p>
    <w:p w14:paraId="45F2762A" w14:textId="77777777" w:rsidR="006C0D2B" w:rsidRPr="0009179E" w:rsidRDefault="006C0D2B" w:rsidP="006C0D2B">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 xml:space="preserve">Kevin Moore, Founder, </w:t>
      </w:r>
      <w:proofErr w:type="spellStart"/>
      <w:r w:rsidRPr="0009179E">
        <w:rPr>
          <w:rFonts w:ascii="Aptos" w:hAnsi="Aptos"/>
          <w:color w:val="090D0F"/>
          <w:sz w:val="18"/>
          <w:szCs w:val="18"/>
        </w:rPr>
        <w:t>Jochanni</w:t>
      </w:r>
      <w:proofErr w:type="spellEnd"/>
      <w:r w:rsidRPr="0009179E">
        <w:rPr>
          <w:rFonts w:ascii="Aptos" w:hAnsi="Aptos"/>
          <w:color w:val="090D0F"/>
          <w:sz w:val="18"/>
          <w:szCs w:val="18"/>
        </w:rPr>
        <w:t xml:space="preserve"> Labs</w:t>
      </w:r>
    </w:p>
    <w:p w14:paraId="01AC13E3" w14:textId="77777777" w:rsidR="006C0D2B" w:rsidRPr="0009179E" w:rsidRDefault="006C0D2B" w:rsidP="006C0D2B">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p w14:paraId="4CF67F46" w14:textId="5133A94B" w:rsidR="009842D8" w:rsidRDefault="009842D8" w:rsidP="006C0D2B">
      <w:pPr>
        <w:spacing w:before="120"/>
      </w:pPr>
    </w:p>
    <w:sectPr w:rsidR="009842D8" w:rsidSect="00034616">
      <w:headerReference w:type="default" r:id="rId10"/>
      <w:footerReference w:type="default" r:id="rId11"/>
      <w:pgSz w:w="12240" w:h="15840"/>
      <w:pgMar w:top="576"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416F7" w14:textId="77777777" w:rsidR="007D210A" w:rsidRDefault="007D210A">
      <w:pPr>
        <w:spacing w:after="0" w:line="240" w:lineRule="auto"/>
      </w:pPr>
      <w:r>
        <w:separator/>
      </w:r>
    </w:p>
  </w:endnote>
  <w:endnote w:type="continuationSeparator" w:id="0">
    <w:p w14:paraId="7A2964F1" w14:textId="77777777" w:rsidR="007D210A" w:rsidRDefault="007D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3549" w14:textId="77777777" w:rsidR="009842D8" w:rsidRDefault="00FB3CAF">
    <w:pPr>
      <w:pStyle w:val="Footer"/>
      <w:jc w:val="center"/>
    </w:pPr>
    <w:r>
      <w:rPr>
        <w:rFonts w:ascii="Aptos" w:hAnsi="Aptos"/>
        <w:color w:val="787878"/>
        <w:sz w:val="16"/>
      </w:rPr>
      <w:t>Why Decision Governance Will Become Unavoidable As Agentic AI Enters Real Workflows.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E263" w14:textId="77777777" w:rsidR="007D210A" w:rsidRDefault="007D210A">
      <w:pPr>
        <w:spacing w:after="0" w:line="240" w:lineRule="auto"/>
      </w:pPr>
      <w:r>
        <w:separator/>
      </w:r>
    </w:p>
  </w:footnote>
  <w:footnote w:type="continuationSeparator" w:id="0">
    <w:p w14:paraId="40994EEA" w14:textId="77777777" w:rsidR="007D210A" w:rsidRDefault="007D2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86B92" w14:textId="77777777" w:rsidR="009842D8" w:rsidRDefault="00FB3CAF">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329650">
    <w:abstractNumId w:val="8"/>
  </w:num>
  <w:num w:numId="2" w16cid:durableId="1706250491">
    <w:abstractNumId w:val="6"/>
  </w:num>
  <w:num w:numId="3" w16cid:durableId="915013930">
    <w:abstractNumId w:val="5"/>
  </w:num>
  <w:num w:numId="4" w16cid:durableId="620769899">
    <w:abstractNumId w:val="4"/>
  </w:num>
  <w:num w:numId="5" w16cid:durableId="814370872">
    <w:abstractNumId w:val="7"/>
  </w:num>
  <w:num w:numId="6" w16cid:durableId="1437404612">
    <w:abstractNumId w:val="3"/>
  </w:num>
  <w:num w:numId="7" w16cid:durableId="1191796890">
    <w:abstractNumId w:val="2"/>
  </w:num>
  <w:num w:numId="8" w16cid:durableId="1947079941">
    <w:abstractNumId w:val="1"/>
  </w:num>
  <w:num w:numId="9" w16cid:durableId="1010453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3B5"/>
    <w:rsid w:val="0029639D"/>
    <w:rsid w:val="00326F90"/>
    <w:rsid w:val="00401BA0"/>
    <w:rsid w:val="006C0D2B"/>
    <w:rsid w:val="00706404"/>
    <w:rsid w:val="007D210A"/>
    <w:rsid w:val="00943EC2"/>
    <w:rsid w:val="009842D8"/>
    <w:rsid w:val="00AA1D8D"/>
    <w:rsid w:val="00B47730"/>
    <w:rsid w:val="00CB0664"/>
    <w:rsid w:val="00FB3C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7C28E"/>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2026-05-11T21:25:00Z</dcterms:created>
  <dcterms:modified xsi:type="dcterms:W3CDTF">2026-05-11T21:47:00Z</dcterms:modified>
  <cp:category/>
</cp:coreProperties>
</file>