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C735D" w14:textId="77777777" w:rsidR="00965360" w:rsidRDefault="00F17296">
      <w:pPr>
        <w:spacing w:after="240"/>
        <w:jc w:val="center"/>
      </w:pPr>
      <w:r>
        <w:rPr>
          <w:noProof/>
        </w:rPr>
        <w:drawing>
          <wp:inline distT="0" distB="0" distL="0" distR="0" wp14:anchorId="78BB5C75" wp14:editId="79FFB34F">
            <wp:extent cx="6824980" cy="1343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3_hero_clean.png"/>
                    <pic:cNvPicPr/>
                  </pic:nvPicPr>
                  <pic:blipFill>
                    <a:blip r:embed="rId8"/>
                    <a:stretch>
                      <a:fillRect/>
                    </a:stretch>
                  </pic:blipFill>
                  <pic:spPr>
                    <a:xfrm>
                      <a:off x="0" y="0"/>
                      <a:ext cx="6827561"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81"/>
        <w:gridCol w:w="3581"/>
        <w:gridCol w:w="3581"/>
      </w:tblGrid>
      <w:tr w:rsidR="00965360" w14:paraId="1051C4F1" w14:textId="77777777">
        <w:trPr>
          <w:jc w:val="center"/>
        </w:trPr>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23727B46" w14:textId="77777777" w:rsidR="00965360" w:rsidRDefault="00F17296">
            <w:pPr>
              <w:spacing w:after="40"/>
              <w:jc w:val="center"/>
            </w:pPr>
            <w:r>
              <w:rPr>
                <w:rFonts w:ascii="Aptos" w:hAnsi="Aptos"/>
                <w:b/>
                <w:color w:val="E86811"/>
                <w:sz w:val="20"/>
              </w:rPr>
              <w:t>ESTIMATED READ TIME</w:t>
            </w:r>
            <w:r>
              <w:rPr>
                <w:rFonts w:ascii="Aptos" w:hAnsi="Aptos"/>
                <w:b/>
                <w:color w:val="E86811"/>
                <w:sz w:val="20"/>
              </w:rPr>
              <w:br/>
            </w:r>
            <w:r>
              <w:rPr>
                <w:rFonts w:ascii="Aptos" w:hAnsi="Aptos"/>
                <w:b/>
                <w:sz w:val="24"/>
              </w:rPr>
              <w:t>4 minutes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79EFE0A7" w14:textId="77777777" w:rsidR="00965360" w:rsidRDefault="00F17296">
            <w:pPr>
              <w:spacing w:after="40"/>
              <w:jc w:val="center"/>
            </w:pPr>
            <w:r>
              <w:rPr>
                <w:rFonts w:ascii="Aptos" w:hAnsi="Aptos"/>
                <w:b/>
                <w:color w:val="E86811"/>
                <w:sz w:val="20"/>
              </w:rPr>
              <w:t>APPROXIMATE WORD COUNT</w:t>
            </w:r>
            <w:r>
              <w:rPr>
                <w:rFonts w:ascii="Aptos" w:hAnsi="Aptos"/>
                <w:b/>
                <w:color w:val="E86811"/>
                <w:sz w:val="20"/>
              </w:rPr>
              <w:br/>
            </w:r>
            <w:r>
              <w:rPr>
                <w:rFonts w:ascii="Aptos" w:hAnsi="Aptos"/>
                <w:b/>
                <w:sz w:val="24"/>
              </w:rPr>
              <w:t>890 words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028A57AA" w14:textId="77777777" w:rsidR="00965360" w:rsidRDefault="00F17296">
            <w:pPr>
              <w:spacing w:after="40"/>
              <w:jc w:val="center"/>
            </w:pPr>
            <w:r>
              <w:rPr>
                <w:rFonts w:ascii="Aptos" w:hAnsi="Aptos"/>
                <w:b/>
                <w:color w:val="E86811"/>
                <w:sz w:val="20"/>
              </w:rPr>
              <w:t>PURPOSE</w:t>
            </w:r>
            <w:r>
              <w:rPr>
                <w:rFonts w:ascii="Aptos" w:hAnsi="Aptos"/>
                <w:b/>
                <w:color w:val="E86811"/>
                <w:sz w:val="20"/>
              </w:rPr>
              <w:br/>
            </w:r>
            <w:r>
              <w:rPr>
                <w:rFonts w:ascii="Aptos" w:hAnsi="Aptos"/>
                <w:b/>
                <w:sz w:val="24"/>
              </w:rPr>
              <w:t>Strategic intelligence briefing</w:t>
            </w:r>
          </w:p>
        </w:tc>
      </w:tr>
    </w:tbl>
    <w:tbl>
      <w:tblPr>
        <w:tblW w:w="0" w:type="auto"/>
        <w:jc w:val="center"/>
        <w:tblLook w:val="04A0" w:firstRow="1" w:lastRow="0" w:firstColumn="1" w:lastColumn="0" w:noHBand="0" w:noVBand="1"/>
      </w:tblPr>
      <w:tblGrid>
        <w:gridCol w:w="10702"/>
      </w:tblGrid>
      <w:tr w:rsidR="00965360" w14:paraId="2388F3CD" w14:textId="77777777">
        <w:trPr>
          <w:jc w:val="center"/>
        </w:trPr>
        <w:tc>
          <w:tcPr>
            <w:tcW w:w="10742" w:type="dxa"/>
            <w:tcBorders>
              <w:top w:val="single" w:sz="16" w:space="0" w:color="E86811"/>
              <w:left w:val="single" w:sz="16" w:space="0" w:color="E86811"/>
              <w:bottom w:val="single" w:sz="16" w:space="0" w:color="E86811"/>
              <w:right w:val="single" w:sz="16" w:space="0" w:color="E86811"/>
            </w:tcBorders>
            <w:shd w:val="clear" w:color="auto" w:fill="0B1012"/>
          </w:tcPr>
          <w:p w14:paraId="2BFCFD2A" w14:textId="77777777" w:rsidR="00965360" w:rsidRDefault="00F17296" w:rsidP="006A5112">
            <w:pPr>
              <w:spacing w:after="0" w:line="240" w:lineRule="auto"/>
              <w:jc w:val="center"/>
            </w:pPr>
            <w:r>
              <w:rPr>
                <w:rFonts w:ascii="Aptos" w:hAnsi="Aptos"/>
                <w:b/>
                <w:color w:val="E86811"/>
              </w:rPr>
              <w:t>Core position:</w:t>
            </w:r>
            <w:r>
              <w:rPr>
                <w:rFonts w:ascii="Aptos" w:hAnsi="Aptos"/>
                <w:b/>
                <w:color w:val="E86811"/>
              </w:rPr>
              <w:br/>
            </w:r>
            <w:r>
              <w:rPr>
                <w:rFonts w:ascii="Aptos" w:hAnsi="Aptos"/>
                <w:b/>
                <w:color w:val="FFFFFF"/>
                <w:sz w:val="24"/>
              </w:rPr>
              <w:t>DAL-X is not a visibility surface, policy repository, or readiness checklist. It is the control layer required when AI influenced work needs authority, routing, evidence, and execution restraint before consequence is created.</w:t>
            </w:r>
          </w:p>
        </w:tc>
      </w:tr>
    </w:tbl>
    <w:p w14:paraId="57FDB425" w14:textId="77777777" w:rsidR="00965360" w:rsidRPr="006A5112" w:rsidRDefault="00F17296">
      <w:pPr>
        <w:spacing w:before="280" w:after="140"/>
        <w:rPr>
          <w:rFonts w:ascii="Georgia" w:hAnsi="Georgia"/>
        </w:rPr>
      </w:pPr>
      <w:r w:rsidRPr="006A5112">
        <w:rPr>
          <w:rFonts w:ascii="Georgia" w:hAnsi="Georgia"/>
          <w:b/>
          <w:color w:val="E86811"/>
          <w:sz w:val="44"/>
        </w:rPr>
        <w:t>Essay</w:t>
      </w:r>
    </w:p>
    <w:p w14:paraId="3AF4E3E1" w14:textId="77777777" w:rsidR="00965360" w:rsidRPr="00AA6947" w:rsidRDefault="00F17296">
      <w:pPr>
        <w:spacing w:after="140" w:line="254" w:lineRule="auto"/>
      </w:pPr>
      <w:r w:rsidRPr="00AA6947">
        <w:rPr>
          <w:rFonts w:ascii="Aptos" w:hAnsi="Aptos"/>
          <w:b/>
        </w:rPr>
        <w:t>Dashboards, policy trackers, and compliance checklists share a common gap: none controls whether AI influenced work was permitted to move forward before consequence was created.</w:t>
      </w:r>
    </w:p>
    <w:p w14:paraId="5FD712EA" w14:textId="77777777" w:rsidR="00965360" w:rsidRPr="00071E94" w:rsidRDefault="00F17296">
      <w:pPr>
        <w:spacing w:after="140" w:line="254" w:lineRule="auto"/>
      </w:pPr>
      <w:r w:rsidRPr="00071E94">
        <w:rPr>
          <w:rFonts w:ascii="Aptos" w:hAnsi="Aptos"/>
        </w:rPr>
        <w:t>The distinction is material because AI governance is being pulled toward surfaces that look organized but remain too far away from the decision moment. The enterprise can collect use cases, classify systems, assign owners, store policies, and prepare evidence while the actual AI shaped decision path still moves through business operations without a live authority check. The result is governance visibility without execution control.</w:t>
      </w:r>
    </w:p>
    <w:p w14:paraId="58FD9597" w14:textId="77777777" w:rsidR="00965360" w:rsidRPr="00071E94" w:rsidRDefault="00F17296">
      <w:pPr>
        <w:spacing w:after="140" w:line="254" w:lineRule="auto"/>
      </w:pPr>
      <w:r w:rsidRPr="00071E94">
        <w:rPr>
          <w:rFonts w:ascii="Aptos" w:hAnsi="Aptos"/>
        </w:rPr>
        <w:t>NIST's AI Risk Management Framework and ISO/IEC 42001 both provide serious structures for governing AI risk. The issue is not their relevance. The issue is whether the enterprise treats governance structure as enough when AI begins influencing decisions that require authority before action.</w:t>
      </w:r>
      <w:r w:rsidRPr="00071E94">
        <w:rPr>
          <w:rFonts w:ascii="Aptos" w:hAnsi="Aptos"/>
          <w:color w:val="E86811"/>
          <w:vertAlign w:val="superscript"/>
        </w:rPr>
        <w:t>1</w:t>
      </w:r>
    </w:p>
    <w:p w14:paraId="1360A1FE" w14:textId="77777777" w:rsidR="00965360" w:rsidRPr="00071E94" w:rsidRDefault="00F17296">
      <w:pPr>
        <w:spacing w:after="140" w:line="254" w:lineRule="auto"/>
      </w:pPr>
      <w:r w:rsidRPr="00071E94">
        <w:rPr>
          <w:rFonts w:ascii="Aptos" w:hAnsi="Aptos"/>
        </w:rPr>
        <w:t>DAL-X belongs in that gap. It is not designed to replace AI risk management, model governance, internal audit, legal review, or compliance operations. It is designed to sit where those disciplines become operationally incomplete: the point where AI generated or AI influenced work is close enough to action that the enterprise must decide whether it can proceed, pause, escalate, require review, create an exception, restrict an override, or preserve a decision record.</w:t>
      </w:r>
    </w:p>
    <w:p w14:paraId="7D334278" w14:textId="77777777" w:rsidR="00965360" w:rsidRPr="00071E94" w:rsidRDefault="00F17296">
      <w:pPr>
        <w:spacing w:after="140" w:line="254" w:lineRule="auto"/>
      </w:pPr>
      <w:r w:rsidRPr="00071E94">
        <w:rPr>
          <w:rFonts w:ascii="Aptos" w:hAnsi="Aptos"/>
        </w:rPr>
        <w:t>Dashboards do not answer that control question. They can display open items, risk levels, usage trends, and workflow activity. Those views may be useful for oversight, but a dashboard is still a representation of activity. They do not, by themselves, evaluate authority conditions or prevent an unauthorized decision path from moving forward.</w:t>
      </w:r>
    </w:p>
    <w:p w14:paraId="3289F473" w14:textId="77777777" w:rsidR="00965360" w:rsidRPr="00071E94" w:rsidRDefault="00F17296">
      <w:pPr>
        <w:spacing w:after="140" w:line="254" w:lineRule="auto"/>
      </w:pPr>
      <w:proofErr w:type="gramStart"/>
      <w:r w:rsidRPr="00071E94">
        <w:rPr>
          <w:rFonts w:ascii="Aptos" w:hAnsi="Aptos"/>
        </w:rPr>
      </w:r>
      <w:proofErr w:type="gramEnd"/>
      <w:r w:rsidRPr="00071E94">
        <w:rPr>
          <w:rFonts w:ascii="Aptos" w:hAnsi="Aptos"/>
        </w:rPr>
        <w:t>Policy trackers stop too early. Written policy can define expectations, but it does not guarantee that the right authority holder saw the AI influence, applied the correct condition, and approved the action before the workflow continued. The enterprise can have strong policy language and still lack an enforceable decision path.</w:t>
      </w:r>
    </w:p>
    <w:p w14:paraId="7173A72E" w14:textId="77777777" w:rsidR="00965360" w:rsidRPr="00071E94" w:rsidRDefault="00F17296">
      <w:pPr>
        <w:spacing w:after="140" w:line="254" w:lineRule="auto"/>
      </w:pPr>
      <w:r w:rsidRPr="00071E94">
        <w:rPr>
          <w:rFonts w:ascii="Aptos" w:hAnsi="Aptos"/>
        </w:rPr>
        <w:t xml:space="preserve">A compliance checklist is even more limited when the issue is runtime consequence. Checklists confirm that required steps occurred, but </w:t>
      </w:r>
      <w:r w:rsidRPr="00071E94">
        <w:rPr>
          <w:rFonts w:ascii="Aptos" w:hAnsi="Aptos"/>
        </w:rPr>
        <w:t>they do not prove that AI shaped work was governed at the moment it became eligible for action.</w:t>
      </w:r>
    </w:p>
    <w:p w14:paraId="7CE193E2" w14:textId="77777777" w:rsidR="00965360" w:rsidRPr="00071E94" w:rsidRDefault="00F17296">
      <w:pPr>
        <w:spacing w:after="140" w:line="254" w:lineRule="auto"/>
      </w:pPr>
      <w:r w:rsidRPr="00071E94">
        <w:rPr>
          <w:rFonts w:ascii="Aptos" w:hAnsi="Aptos"/>
        </w:rPr>
        <w:t>A credit exception illustrates the difference. Banks can document that an AI system was reviewed, store the policy governing its use, and show a dashboard of exception volume. If AI influenced the exception recommendation and the workflow allowed approval without the correct authority threshold, the control failure is not solved by the dashboard, policy, or checklist. The failure sits in the decision path.</w:t>
      </w:r>
    </w:p>
    <w:p w14:paraId="74F32ED3" w14:textId="77777777" w:rsidR="00965360" w:rsidRDefault="00F17296">
      <w:pPr>
        <w:spacing w:before="100"/>
        <w:jc w:val="center"/>
      </w:pPr>
      <w:r>
        <w:rPr>
          <w:noProof/>
        </w:rPr>
        <w:drawing>
          <wp:inline distT="0" distB="0" distL="0" distR="0" wp14:anchorId="3D996AF8" wp14:editId="2E73A565">
            <wp:extent cx="6796262" cy="1082675"/>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3_micro_clean.png"/>
                    <pic:cNvPicPr/>
                  </pic:nvPicPr>
                  <pic:blipFill>
                    <a:blip r:embed="rId9"/>
                    <a:stretch>
                      <a:fillRect/>
                    </a:stretch>
                  </pic:blipFill>
                  <pic:spPr>
                    <a:xfrm>
                      <a:off x="0" y="0"/>
                      <a:ext cx="6802532" cy="1083674"/>
                    </a:xfrm>
                    <a:prstGeom prst="rect">
                      <a:avLst/>
                    </a:prstGeom>
                  </pic:spPr>
                </pic:pic>
              </a:graphicData>
            </a:graphic>
          </wp:inline>
        </w:drawing>
      </w:r>
    </w:p>
    <w:p w14:paraId="305839E2" w14:textId="77777777" w:rsidR="00965360" w:rsidRPr="00071E94" w:rsidRDefault="00F17296">
      <w:pPr>
        <w:spacing w:after="140" w:line="254" w:lineRule="auto"/>
      </w:pPr>
      <w:r w:rsidRPr="00071E94">
        <w:rPr>
          <w:rFonts w:ascii="Aptos" w:hAnsi="Aptos"/>
        </w:rPr>
        <w:t>Public regulation is already forcing more attention toward traceability and oversight. The EU AI Act requires high risk AI systems to support automatic event recording over their lifetime and treats human oversight as a risk reduction mechanism. Those requirements point toward operational proof, but an event log or oversight reference still has to be connected to authority if the enterprise wants to prove that the decision was permitted before action moved forward.</w:t>
      </w:r>
      <w:r w:rsidRPr="00071E94">
        <w:rPr>
          <w:rFonts w:ascii="Aptos" w:hAnsi="Aptos"/>
          <w:color w:val="E86811"/>
          <w:vertAlign w:val="superscript"/>
        </w:rPr>
        <w:t>3</w:t>
      </w:r>
    </w:p>
    <w:p w14:paraId="43B155DD" w14:textId="77777777" w:rsidR="00965360" w:rsidRPr="00071E94" w:rsidRDefault="00F17296">
      <w:pPr>
        <w:spacing w:after="140" w:line="254" w:lineRule="auto"/>
      </w:pPr>
      <w:r w:rsidRPr="00071E94">
        <w:rPr>
          <w:rFonts w:ascii="Aptos" w:hAnsi="Aptos"/>
        </w:rPr>
        <w:t xml:space="preserve">The category conversation needs to be sharper. AI governance establishes the program, model governance manages the system, compliance interprets obligations, internal audit tests the </w:t>
      </w:r>
      <w:proofErr w:type="gramStart"/>
      <w:r w:rsidRPr="00071E94">
        <w:rPr>
          <w:rFonts w:ascii="Aptos" w:hAnsi="Aptos"/>
        </w:rPr>
        <w:t>control environment</w:t>
      </w:r>
      <w:proofErr w:type="gramEnd"/>
      <w:r w:rsidRPr="00071E94">
        <w:rPr>
          <w:rFonts w:ascii="Aptos" w:hAnsi="Aptos"/>
        </w:rPr>
        <w:t>, and Decision Intelligence improves how decisions are modeled and executed. Decision Governance has to address whether AI participation changed the authority requirements attached to the decision path.</w:t>
      </w:r>
    </w:p>
    <w:p w14:paraId="0537D30F" w14:textId="77777777" w:rsidR="00965360" w:rsidRPr="00071E94" w:rsidRDefault="00F17296">
      <w:pPr>
        <w:spacing w:after="140" w:line="254" w:lineRule="auto"/>
      </w:pPr>
      <w:r w:rsidRPr="00071E94">
        <w:rPr>
          <w:rFonts w:ascii="Aptos" w:hAnsi="Aptos"/>
        </w:rPr>
        <w:t>DAL-X is positioned against that authority problem, not against the existence of dashboards, policies, or checklists. Those artifacts may remain necessary. They become insufficient when the enterprise needs to prove control at the execution boundary. The question is no longer only whether the organization has governed AI as a system. The question is whether the organization governed the decision path shaped by AI before it created consequence.</w:t>
      </w:r>
    </w:p>
    <w:p w14:paraId="49A89CC6" w14:textId="77777777" w:rsidR="00965360" w:rsidRPr="00071E94" w:rsidRDefault="00F17296">
      <w:pPr>
        <w:spacing w:after="140" w:line="254" w:lineRule="auto"/>
      </w:pPr>
      <w:r w:rsidRPr="00071E94">
        <w:rPr>
          <w:rFonts w:ascii="Aptos" w:hAnsi="Aptos"/>
        </w:rPr>
        <w:t>This is the reason DAL-X cannot be reduced to a screen, a tracker, or a compliance worksheet. Its value depends on whether the downstream system rejects an execution that lacks valid authority for the exact action. Without that rejection, the enterprise may have governance material around AI, but it does not have enforceable authority over consequential AI agent executions.</w:t>
      </w:r>
    </w:p>
    <w:p w14:paraId="649325DA" w14:textId="77777777" w:rsidR="00965360" w:rsidRPr="00071E94" w:rsidRDefault="00F17296">
      <w:pPr>
        <w:spacing w:after="140" w:line="254" w:lineRule="auto"/>
      </w:pPr>
      <w:r w:rsidRPr="00071E94">
        <w:rPr>
          <w:rFonts w:ascii="Aptos" w:hAnsi="Aptos"/>
        </w:rPr>
        <w:t>The next control standard will not be satisfied by more visibility alone. It will require proof that each consequential AI agent execution was authorized, escalated, or stopped before the downstream system acted. DAL-X is being built for that control layer.</w:t>
      </w:r>
    </w:p>
    <w:p w14:paraId="7C2018CC" w14:textId="77777777" w:rsidR="00965360" w:rsidRDefault="00F17296">
      <w:pPr>
        <w:spacing w:before="160"/>
        <w:jc w:val="center"/>
      </w:pPr>
      <w:r>
        <w:rPr>
          <w:noProof/>
        </w:rPr>
        <w:drawing>
          <wp:inline distT="0" distB="0" distL="0" distR="0" wp14:anchorId="1F86D35E" wp14:editId="7F0604A1">
            <wp:extent cx="6787415" cy="839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3_claim_clean.png"/>
                    <pic:cNvPicPr/>
                  </pic:nvPicPr>
                  <pic:blipFill>
                    <a:blip r:embed="rId10"/>
                    <a:stretch>
                      <a:fillRect/>
                    </a:stretch>
                  </pic:blipFill>
                  <pic:spPr>
                    <a:xfrm>
                      <a:off x="0" y="0"/>
                      <a:ext cx="6792699" cy="840124"/>
                    </a:xfrm>
                    <a:prstGeom prst="rect">
                      <a:avLst/>
                    </a:prstGeom>
                  </pic:spPr>
                </pic:pic>
              </a:graphicData>
            </a:graphic>
          </wp:inline>
        </w:drawing>
      </w:r>
    </w:p>
    <w:p w14:paraId="76644CEE" w14:textId="77777777" w:rsidR="00965360" w:rsidRPr="006A5112" w:rsidRDefault="00F17296">
      <w:pPr>
        <w:spacing w:before="280" w:after="140"/>
        <w:rPr>
          <w:rFonts w:ascii="Georgia" w:hAnsi="Georgia"/>
        </w:rPr>
      </w:pPr>
      <w:r w:rsidRPr="006A5112">
        <w:rPr>
          <w:rFonts w:ascii="Georgia" w:hAnsi="Georgia"/>
          <w:b/>
          <w:color w:val="E86811"/>
          <w:sz w:val="44"/>
        </w:rPr>
        <w:t>Source Notes</w:t>
      </w:r>
    </w:p>
    <w:p w14:paraId="00E84C5D" w14:textId="77777777" w:rsidR="00965360" w:rsidRPr="006A5112" w:rsidRDefault="00F17296" w:rsidP="006A5112">
      <w:pPr>
        <w:spacing w:after="0" w:line="240" w:lineRule="auto"/>
        <w:rPr>
          <w:sz w:val="18"/>
          <w:szCs w:val="18"/>
        </w:rPr>
      </w:pPr>
      <w:r w:rsidRPr="006A5112">
        <w:rPr>
          <w:rFonts w:ascii="Aptos" w:hAnsi="Aptos"/>
          <w:b/>
          <w:color w:val="E86811"/>
          <w:sz w:val="18"/>
          <w:szCs w:val="18"/>
        </w:rPr>
        <w:t xml:space="preserve">1. </w:t>
      </w:r>
      <w:r w:rsidRPr="006A5112">
        <w:rPr>
          <w:rFonts w:ascii="Aptos" w:hAnsi="Aptos"/>
          <w:sz w:val="18"/>
          <w:szCs w:val="18"/>
        </w:rPr>
        <w:t>NIST AI Risk Management Framework. The AI RMF Core is composed of four high level functions: Govern, Map, Measure, and Manage. Source: https://airc.nist.gov/airmf-resources/airmf/5-sec-core/</w:t>
      </w:r>
    </w:p>
    <w:p w14:paraId="5C85611C" w14:textId="77777777" w:rsidR="006A5112" w:rsidRDefault="006A5112" w:rsidP="006A5112">
      <w:pPr>
        <w:spacing w:after="0" w:line="240" w:lineRule="auto"/>
        <w:rPr>
          <w:rFonts w:ascii="Aptos" w:hAnsi="Aptos"/>
          <w:b/>
          <w:color w:val="E86811"/>
          <w:sz w:val="18"/>
          <w:szCs w:val="18"/>
        </w:rPr>
      </w:pPr>
    </w:p>
    <w:p w14:paraId="6AC62FAC" w14:textId="67F27BD4" w:rsidR="00965360" w:rsidRPr="006A5112" w:rsidRDefault="00F17296" w:rsidP="006A5112">
      <w:pPr>
        <w:spacing w:after="0" w:line="240" w:lineRule="auto"/>
        <w:rPr>
          <w:sz w:val="18"/>
          <w:szCs w:val="18"/>
        </w:rPr>
      </w:pPr>
      <w:r w:rsidRPr="006A5112">
        <w:rPr>
          <w:rFonts w:ascii="Aptos" w:hAnsi="Aptos"/>
          <w:b/>
          <w:color w:val="E86811"/>
          <w:sz w:val="18"/>
          <w:szCs w:val="18"/>
        </w:rPr>
        <w:lastRenderedPageBreak/>
        <w:t xml:space="preserve">2. </w:t>
      </w:r>
      <w:r w:rsidRPr="006A5112">
        <w:rPr>
          <w:rFonts w:ascii="Aptos" w:hAnsi="Aptos"/>
          <w:sz w:val="18"/>
          <w:szCs w:val="18"/>
        </w:rPr>
        <w:t>ISO/IEC 42001:2023. ISO states that the standard specifies requirements and guidance for establishing, implementing, maintaining, and continually improving an AI management system within an organization. Source: https://www.iso.org/standard/42001</w:t>
      </w:r>
    </w:p>
    <w:p w14:paraId="78C676EF" w14:textId="77777777" w:rsidR="006A5112" w:rsidRDefault="006A5112" w:rsidP="006A5112">
      <w:pPr>
        <w:spacing w:after="0" w:line="240" w:lineRule="auto"/>
        <w:rPr>
          <w:rFonts w:ascii="Aptos" w:hAnsi="Aptos"/>
          <w:b/>
          <w:color w:val="E86811"/>
          <w:sz w:val="18"/>
          <w:szCs w:val="18"/>
        </w:rPr>
      </w:pPr>
    </w:p>
    <w:p w14:paraId="501FD9E9" w14:textId="2C632AAB" w:rsidR="00965360" w:rsidRPr="006A5112" w:rsidRDefault="00F17296" w:rsidP="006A5112">
      <w:pPr>
        <w:spacing w:after="0" w:line="240" w:lineRule="auto"/>
        <w:rPr>
          <w:sz w:val="18"/>
          <w:szCs w:val="18"/>
        </w:rPr>
      </w:pPr>
      <w:r w:rsidRPr="006A5112">
        <w:rPr>
          <w:rFonts w:ascii="Aptos" w:hAnsi="Aptos"/>
          <w:b/>
          <w:color w:val="E86811"/>
          <w:sz w:val="18"/>
          <w:szCs w:val="18"/>
        </w:rPr>
        <w:t xml:space="preserve">3. </w:t>
      </w:r>
      <w:r w:rsidRPr="006A5112">
        <w:rPr>
          <w:rFonts w:ascii="Aptos" w:hAnsi="Aptos"/>
          <w:sz w:val="18"/>
          <w:szCs w:val="18"/>
        </w:rPr>
        <w:t xml:space="preserve">EU AI Act, Article 12. High risk AI </w:t>
      </w:r>
      <w:r w:rsidR="006A5112" w:rsidRPr="006A5112">
        <w:rPr>
          <w:rFonts w:ascii="Aptos" w:hAnsi="Aptos"/>
          <w:sz w:val="18"/>
          <w:szCs w:val="18"/>
        </w:rPr>
        <w:t>systems</w:t>
      </w:r>
      <w:r w:rsidRPr="006A5112">
        <w:rPr>
          <w:rFonts w:ascii="Aptos" w:hAnsi="Aptos"/>
          <w:sz w:val="18"/>
          <w:szCs w:val="18"/>
        </w:rPr>
        <w:t xml:space="preserve"> technically allow for the automatic recording of events over the lifetime of the system. Source: https://eur-lex.europa.eu/eli/reg/2024/1689/oj</w:t>
      </w:r>
    </w:p>
    <w:p w14:paraId="1C702080" w14:textId="77777777" w:rsidR="006A5112" w:rsidRDefault="006A5112" w:rsidP="006A5112">
      <w:pPr>
        <w:spacing w:after="0" w:line="240" w:lineRule="auto"/>
        <w:rPr>
          <w:rFonts w:ascii="Aptos" w:hAnsi="Aptos"/>
          <w:b/>
          <w:color w:val="E86811"/>
          <w:sz w:val="18"/>
          <w:szCs w:val="18"/>
        </w:rPr>
      </w:pPr>
    </w:p>
    <w:p w14:paraId="70F7B1C2" w14:textId="0FE38D60" w:rsidR="00965360" w:rsidRPr="006A5112" w:rsidRDefault="00F17296" w:rsidP="006A5112">
      <w:pPr>
        <w:spacing w:after="0" w:line="240" w:lineRule="auto"/>
        <w:rPr>
          <w:sz w:val="18"/>
          <w:szCs w:val="18"/>
        </w:rPr>
      </w:pPr>
      <w:r w:rsidRPr="006A5112">
        <w:rPr>
          <w:rFonts w:ascii="Aptos" w:hAnsi="Aptos"/>
          <w:b/>
          <w:color w:val="E86811"/>
          <w:sz w:val="18"/>
          <w:szCs w:val="18"/>
        </w:rPr>
        <w:t xml:space="preserve">4. </w:t>
      </w:r>
      <w:r w:rsidRPr="006A5112">
        <w:rPr>
          <w:rFonts w:ascii="Aptos" w:hAnsi="Aptos"/>
          <w:sz w:val="18"/>
          <w:szCs w:val="18"/>
        </w:rPr>
        <w:t xml:space="preserve">EU AI Act, Article 14. Human oversight for </w:t>
      </w:r>
      <w:r w:rsidR="006A5112" w:rsidRPr="006A5112">
        <w:rPr>
          <w:rFonts w:ascii="Aptos" w:hAnsi="Aptos"/>
          <w:sz w:val="18"/>
          <w:szCs w:val="18"/>
        </w:rPr>
        <w:t>high-risk</w:t>
      </w:r>
      <w:r w:rsidRPr="006A5112">
        <w:rPr>
          <w:rFonts w:ascii="Aptos" w:hAnsi="Aptos"/>
          <w:sz w:val="18"/>
          <w:szCs w:val="18"/>
        </w:rPr>
        <w:t xml:space="preserve"> AI systems aims to prevent or minimise risks to health, safety, or fundamental rights. Source: https://eur-lex.europa.eu/eli/reg/2024/1689/oj</w:t>
      </w:r>
    </w:p>
    <w:p w14:paraId="00EEE5CC" w14:textId="77777777" w:rsidR="006A5112" w:rsidRDefault="006A5112" w:rsidP="00E55ACB">
      <w:pPr>
        <w:spacing w:after="0" w:line="240" w:lineRule="auto"/>
        <w:rPr>
          <w:rFonts w:ascii="Aptos" w:hAnsi="Aptos"/>
          <w:b/>
          <w:color w:val="E86811"/>
          <w:sz w:val="17"/>
        </w:rPr>
      </w:pPr>
    </w:p>
    <w:p w14:paraId="7E5B33A6" w14:textId="77777777" w:rsidR="00AA6947" w:rsidRPr="004F118A" w:rsidRDefault="00AA6947" w:rsidP="00AA6947">
      <w:pPr>
        <w:spacing w:after="0" w:line="240" w:lineRule="auto"/>
        <w:rPr>
          <w:rFonts w:ascii="Aptos" w:hAnsi="Aptos"/>
          <w:sz w:val="18"/>
          <w:szCs w:val="18"/>
        </w:rPr>
      </w:pPr>
      <w:r w:rsidRPr="004F118A">
        <w:rPr>
          <w:rFonts w:ascii="Aptos" w:hAnsi="Aptos"/>
          <w:b/>
          <w:color w:val="E86811"/>
          <w:sz w:val="18"/>
          <w:szCs w:val="18"/>
        </w:rPr>
        <w:t xml:space="preserve">Prepared for: </w:t>
      </w:r>
      <w:r w:rsidRPr="004F118A">
        <w:rPr>
          <w:rFonts w:ascii="Aptos" w:hAnsi="Aptos"/>
          <w:sz w:val="18"/>
          <w:szCs w:val="18"/>
        </w:rPr>
        <w:t xml:space="preserve">Kevin Moore, Founder, </w:t>
      </w:r>
      <w:proofErr w:type="spellStart"/>
      <w:r w:rsidRPr="004F118A">
        <w:rPr>
          <w:rFonts w:ascii="Aptos" w:hAnsi="Aptos"/>
          <w:sz w:val="18"/>
          <w:szCs w:val="18"/>
        </w:rPr>
        <w:t>Jochanni</w:t>
      </w:r>
      <w:proofErr w:type="spellEnd"/>
      <w:r w:rsidRPr="004F118A">
        <w:rPr>
          <w:rFonts w:ascii="Aptos" w:hAnsi="Aptos"/>
          <w:sz w:val="18"/>
          <w:szCs w:val="18"/>
        </w:rPr>
        <w:t xml:space="preserve"> Labs</w:t>
      </w:r>
    </w:p>
    <w:p w14:paraId="0BD97213" w14:textId="77777777" w:rsidR="00AA6947" w:rsidRDefault="00AA6947" w:rsidP="00AA6947">
      <w:pPr>
        <w:spacing w:after="0" w:line="240" w:lineRule="auto"/>
      </w:pPr>
      <w:r w:rsidRPr="004F118A">
        <w:rPr>
          <w:rFonts w:ascii="Aptos" w:hAnsi="Aptos"/>
          <w:b/>
          <w:color w:val="FF6A00"/>
          <w:sz w:val="18"/>
          <w:szCs w:val="18"/>
        </w:rPr>
        <w:t>Publication series: Decision Governance Strategic Intelligence Series</w:t>
      </w:r>
    </w:p>
    <w:p w14:paraId="552E9FF5" w14:textId="6449CD70" w:rsidR="00965360" w:rsidRDefault="00965360" w:rsidP="00AA6947">
      <w:pPr>
        <w:spacing w:after="0" w:line="240" w:lineRule="auto"/>
      </w:pPr>
    </w:p>
    <w:sectPr w:rsidR="00965360" w:rsidSect="00034616">
      <w:headerReference w:type="default" r:id="rId11"/>
      <w:footerReference w:type="default" r:id="rId12"/>
      <w:pgSz w:w="12240" w:h="15840"/>
      <w:pgMar w:top="547" w:right="749" w:bottom="648" w:left="7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D48B5" w14:textId="77777777" w:rsidR="00FE79C7" w:rsidRDefault="00FE79C7">
      <w:pPr>
        <w:spacing w:after="0" w:line="240" w:lineRule="auto"/>
      </w:pPr>
      <w:r>
        <w:separator/>
      </w:r>
    </w:p>
  </w:endnote>
  <w:endnote w:type="continuationSeparator" w:id="0">
    <w:p w14:paraId="71A7A145" w14:textId="77777777" w:rsidR="00FE79C7" w:rsidRDefault="00FE7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A679" w14:textId="77777777" w:rsidR="00965360" w:rsidRDefault="00F17296">
    <w:pPr>
      <w:pStyle w:val="Footer"/>
      <w:jc w:val="center"/>
    </w:pPr>
    <w:r>
      <w:rPr>
        <w:rFonts w:ascii="Aptos" w:hAnsi="Aptos"/>
        <w:color w:val="787878"/>
        <w:sz w:val="16"/>
      </w:rPr>
      <w:t>Why DAL-X Is Not a Dashboard, Policy Tracker, or Compliance Checklist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3DFCD" w14:textId="77777777" w:rsidR="00FE79C7" w:rsidRDefault="00FE79C7">
      <w:pPr>
        <w:spacing w:after="0" w:line="240" w:lineRule="auto"/>
      </w:pPr>
      <w:r>
        <w:separator/>
      </w:r>
    </w:p>
  </w:footnote>
  <w:footnote w:type="continuationSeparator" w:id="0">
    <w:p w14:paraId="6E8BAB39" w14:textId="77777777" w:rsidR="00FE79C7" w:rsidRDefault="00FE7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3E9F8" w14:textId="77777777" w:rsidR="00965360" w:rsidRDefault="00F17296">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 Strategic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114120">
    <w:abstractNumId w:val="8"/>
  </w:num>
  <w:num w:numId="2" w16cid:durableId="874390182">
    <w:abstractNumId w:val="6"/>
  </w:num>
  <w:num w:numId="3" w16cid:durableId="338700308">
    <w:abstractNumId w:val="5"/>
  </w:num>
  <w:num w:numId="4" w16cid:durableId="412748836">
    <w:abstractNumId w:val="4"/>
  </w:num>
  <w:num w:numId="5" w16cid:durableId="2042318558">
    <w:abstractNumId w:val="7"/>
  </w:num>
  <w:num w:numId="6" w16cid:durableId="1480998494">
    <w:abstractNumId w:val="3"/>
  </w:num>
  <w:num w:numId="7" w16cid:durableId="1040326712">
    <w:abstractNumId w:val="2"/>
  </w:num>
  <w:num w:numId="8" w16cid:durableId="377781980">
    <w:abstractNumId w:val="1"/>
  </w:num>
  <w:num w:numId="9" w16cid:durableId="55747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E94"/>
    <w:rsid w:val="000D38F2"/>
    <w:rsid w:val="0015074B"/>
    <w:rsid w:val="0029639D"/>
    <w:rsid w:val="00326F90"/>
    <w:rsid w:val="00443153"/>
    <w:rsid w:val="00583D65"/>
    <w:rsid w:val="006A5112"/>
    <w:rsid w:val="00943EC2"/>
    <w:rsid w:val="00965360"/>
    <w:rsid w:val="00AA1D8D"/>
    <w:rsid w:val="00AA6947"/>
    <w:rsid w:val="00B47730"/>
    <w:rsid w:val="00CB0664"/>
    <w:rsid w:val="00D573E0"/>
    <w:rsid w:val="00E55ACB"/>
    <w:rsid w:val="00F17296"/>
    <w:rsid w:val="00FC693F"/>
    <w:rsid w:val="00FE79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E570E"/>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6</cp:revision>
  <dcterms:created xsi:type="dcterms:W3CDTF">2026-05-11T19:47:00Z</dcterms:created>
  <dcterms:modified xsi:type="dcterms:W3CDTF">2026-05-11T21:40:00Z</dcterms:modified>
  <cp:category/>
</cp:coreProperties>
</file>