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6DE2D" w14:textId="77777777" w:rsidR="00630991" w:rsidRDefault="00207B12">
      <w:pPr>
        <w:spacing w:after="240"/>
        <w:jc w:val="center"/>
      </w:pPr>
      <w:r>
        <w:rPr>
          <w:noProof/>
        </w:rPr>
        <w:drawing>
          <wp:inline distT="0" distB="0" distL="0" distR="0" wp14:anchorId="76D13BDC" wp14:editId="310FD73D">
            <wp:extent cx="6855460" cy="1343660"/>
            <wp:effectExtent l="0" t="0" r="254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efing05_hero_clean.png"/>
                    <pic:cNvPicPr/>
                  </pic:nvPicPr>
                  <pic:blipFill>
                    <a:blip r:embed="rId8"/>
                    <a:stretch>
                      <a:fillRect/>
                    </a:stretch>
                  </pic:blipFill>
                  <pic:spPr>
                    <a:xfrm>
                      <a:off x="0" y="0"/>
                      <a:ext cx="6858053" cy="1344168"/>
                    </a:xfrm>
                    <a:prstGeom prst="rect">
                      <a:avLst/>
                    </a:prstGeom>
                  </pic:spPr>
                </pic:pic>
              </a:graphicData>
            </a:graphic>
          </wp:inline>
        </w:drawing>
      </w:r>
    </w:p>
    <w:tbl>
      <w:tblPr>
        <w:tblW w:w="0" w:type="auto"/>
        <w:jc w:val="center"/>
        <w:tblLayout w:type="fixed"/>
        <w:tblLook w:val="04A0" w:firstRow="1" w:lastRow="0" w:firstColumn="1" w:lastColumn="0" w:noHBand="0" w:noVBand="1"/>
      </w:tblPr>
      <w:tblGrid>
        <w:gridCol w:w="3581"/>
        <w:gridCol w:w="3581"/>
        <w:gridCol w:w="3581"/>
      </w:tblGrid>
      <w:tr w:rsidR="00630991" w14:paraId="10663998" w14:textId="77777777">
        <w:trPr>
          <w:jc w:val="center"/>
        </w:trPr>
        <w:tc>
          <w:tcPr>
            <w:tcW w:w="3581" w:type="dxa"/>
            <w:tcBorders>
              <w:top w:val="single" w:sz="6" w:space="0" w:color="DDDDDD"/>
              <w:left w:val="single" w:sz="6" w:space="0" w:color="DDDDDD"/>
              <w:bottom w:val="single" w:sz="6" w:space="0" w:color="DDDDDD"/>
              <w:right w:val="single" w:sz="6" w:space="0" w:color="DDDDDD"/>
            </w:tcBorders>
            <w:shd w:val="clear" w:color="auto" w:fill="F5F3F0"/>
            <w:vAlign w:val="center"/>
          </w:tcPr>
          <w:p w14:paraId="459659C3" w14:textId="77777777" w:rsidR="00630991" w:rsidRDefault="00207B12">
            <w:pPr>
              <w:spacing w:after="40"/>
              <w:jc w:val="center"/>
            </w:pPr>
            <w:r>
              <w:rPr>
                <w:rFonts w:ascii="Aptos" w:hAnsi="Aptos"/>
                <w:b/>
                <w:color w:val="E86811"/>
                <w:sz w:val="20"/>
              </w:rPr>
              <w:t>ESTIMATED READ TIME</w:t>
            </w:r>
            <w:r>
              <w:rPr>
                <w:rFonts w:ascii="Aptos" w:hAnsi="Aptos"/>
                <w:b/>
                <w:color w:val="E86811"/>
                <w:sz w:val="20"/>
              </w:rPr>
              <w:br/>
            </w:r>
            <w:r>
              <w:rPr>
                <w:rFonts w:ascii="Aptos" w:hAnsi="Aptos"/>
                <w:b/>
                <w:sz w:val="24"/>
              </w:rPr>
              <w:t>4 minutes</w:t>
            </w:r>
          </w:p>
        </w:tc>
        <w:tc>
          <w:tcPr>
            <w:tcW w:w="3581" w:type="dxa"/>
            <w:tcBorders>
              <w:top w:val="single" w:sz="6" w:space="0" w:color="DDDDDD"/>
              <w:left w:val="single" w:sz="6" w:space="0" w:color="DDDDDD"/>
              <w:bottom w:val="single" w:sz="6" w:space="0" w:color="DDDDDD"/>
              <w:right w:val="single" w:sz="6" w:space="0" w:color="DDDDDD"/>
            </w:tcBorders>
            <w:shd w:val="clear" w:color="auto" w:fill="F5F3F0"/>
            <w:vAlign w:val="center"/>
          </w:tcPr>
          <w:p w14:paraId="33FE7085" w14:textId="77777777" w:rsidR="00630991" w:rsidRDefault="00207B12">
            <w:pPr>
              <w:spacing w:after="40"/>
              <w:jc w:val="center"/>
            </w:pPr>
            <w:r>
              <w:rPr>
                <w:rFonts w:ascii="Aptos" w:hAnsi="Aptos"/>
                <w:b/>
                <w:color w:val="E86811"/>
                <w:sz w:val="20"/>
              </w:rPr>
              <w:t>APPROXIMATE WORD COUNT</w:t>
            </w:r>
            <w:r>
              <w:rPr>
                <w:rFonts w:ascii="Aptos" w:hAnsi="Aptos"/>
                <w:b/>
                <w:color w:val="E86811"/>
                <w:sz w:val="20"/>
              </w:rPr>
              <w:br/>
            </w:r>
            <w:r>
              <w:rPr>
                <w:rFonts w:ascii="Aptos" w:hAnsi="Aptos"/>
                <w:b/>
                <w:sz w:val="24"/>
              </w:rPr>
              <w:t>880 words</w:t>
            </w:r>
          </w:p>
        </w:tc>
        <w:tc>
          <w:tcPr>
            <w:tcW w:w="3581" w:type="dxa"/>
            <w:tcBorders>
              <w:top w:val="single" w:sz="6" w:space="0" w:color="DDDDDD"/>
              <w:left w:val="single" w:sz="6" w:space="0" w:color="DDDDDD"/>
              <w:bottom w:val="single" w:sz="6" w:space="0" w:color="DDDDDD"/>
              <w:right w:val="single" w:sz="6" w:space="0" w:color="DDDDDD"/>
            </w:tcBorders>
            <w:shd w:val="clear" w:color="auto" w:fill="F5F3F0"/>
            <w:vAlign w:val="center"/>
          </w:tcPr>
          <w:p w14:paraId="432F809F" w14:textId="77777777" w:rsidR="00630991" w:rsidRDefault="00207B12">
            <w:pPr>
              <w:spacing w:after="40"/>
              <w:jc w:val="center"/>
            </w:pPr>
            <w:r>
              <w:rPr>
                <w:rFonts w:ascii="Aptos" w:hAnsi="Aptos"/>
                <w:b/>
                <w:color w:val="E86811"/>
                <w:sz w:val="20"/>
              </w:rPr>
              <w:t>PURPOSE</w:t>
            </w:r>
            <w:r>
              <w:rPr>
                <w:rFonts w:ascii="Aptos" w:hAnsi="Aptos"/>
                <w:b/>
                <w:color w:val="E86811"/>
                <w:sz w:val="20"/>
              </w:rPr>
              <w:br/>
            </w:r>
            <w:r>
              <w:rPr>
                <w:rFonts w:ascii="Aptos" w:hAnsi="Aptos"/>
                <w:b/>
                <w:sz w:val="24"/>
              </w:rPr>
              <w:t>Strategic intelligence briefing</w:t>
            </w:r>
          </w:p>
        </w:tc>
      </w:tr>
    </w:tbl>
    <w:tbl>
      <w:tblPr>
        <w:tblW w:w="0" w:type="auto"/>
        <w:jc w:val="center"/>
        <w:tblLook w:val="04A0" w:firstRow="1" w:lastRow="0" w:firstColumn="1" w:lastColumn="0" w:noHBand="0" w:noVBand="1"/>
      </w:tblPr>
      <w:tblGrid>
        <w:gridCol w:w="10702"/>
      </w:tblGrid>
      <w:tr w:rsidR="00630991" w14:paraId="19A13B4C" w14:textId="77777777" w:rsidTr="00705C7B">
        <w:trPr>
          <w:trHeight w:val="898"/>
          <w:jc w:val="center"/>
        </w:trPr>
        <w:tc>
          <w:tcPr>
            <w:tcW w:w="10742" w:type="dxa"/>
            <w:tcBorders>
              <w:top w:val="single" w:sz="16" w:space="0" w:color="E86811"/>
              <w:left w:val="single" w:sz="16" w:space="0" w:color="E86811"/>
              <w:bottom w:val="single" w:sz="16" w:space="0" w:color="E86811"/>
              <w:right w:val="single" w:sz="16" w:space="0" w:color="E86811"/>
            </w:tcBorders>
            <w:shd w:val="clear" w:color="auto" w:fill="0B1012"/>
          </w:tcPr>
          <w:p w14:paraId="3CBC29ED" w14:textId="77777777" w:rsidR="00630991" w:rsidRDefault="00207B12" w:rsidP="00705C7B">
            <w:pPr>
              <w:spacing w:after="0" w:line="240" w:lineRule="auto"/>
              <w:jc w:val="center"/>
            </w:pPr>
            <w:r>
              <w:rPr>
                <w:rFonts w:ascii="Aptos" w:hAnsi="Aptos"/>
                <w:b/>
                <w:color w:val="E86811"/>
              </w:rPr>
              <w:t>Core position:</w:t>
            </w:r>
            <w:r>
              <w:rPr>
                <w:rFonts w:ascii="Aptos" w:hAnsi="Aptos"/>
                <w:b/>
                <w:color w:val="E86811"/>
              </w:rPr>
              <w:br/>
            </w:r>
            <w:r>
              <w:rPr>
                <w:rFonts w:ascii="Aptos" w:hAnsi="Aptos"/>
                <w:b/>
                <w:color w:val="FFFFFF"/>
                <w:sz w:val="24"/>
              </w:rPr>
              <w:t>The enterprise control gap sits between AI output and business execution. Output is not consequence until the organization allows it to move into action.</w:t>
            </w:r>
          </w:p>
        </w:tc>
      </w:tr>
    </w:tbl>
    <w:p w14:paraId="596C900D" w14:textId="77777777" w:rsidR="00630991" w:rsidRPr="00705C7B" w:rsidRDefault="00207B12">
      <w:pPr>
        <w:spacing w:before="280" w:after="140"/>
        <w:rPr>
          <w:rFonts w:ascii="Georgia" w:hAnsi="Georgia"/>
        </w:rPr>
      </w:pPr>
      <w:r w:rsidRPr="00705C7B">
        <w:rPr>
          <w:rFonts w:ascii="Georgia" w:hAnsi="Georgia"/>
          <w:b/>
          <w:color w:val="E86811"/>
          <w:sz w:val="44"/>
        </w:rPr>
        <w:t>Essay</w:t>
      </w:r>
    </w:p>
    <w:p w14:paraId="34DF1A77" w14:textId="77777777" w:rsidR="00630991" w:rsidRPr="00705C7B" w:rsidRDefault="00207B12">
      <w:pPr>
        <w:spacing w:after="140" w:line="254" w:lineRule="auto"/>
      </w:pPr>
      <w:r w:rsidRPr="00705C7B">
        <w:rPr>
          <w:rFonts w:ascii="Aptos" w:hAnsi="Aptos"/>
          <w:b/>
        </w:rPr>
        <w:t>Enterprises are moving AI generated output into real work faster than their control models can absorb. Output can shape a human decision long before any automated action occurs, and that influence needs governance. The enforceable control point comes later. It arrives when output becomes a proposed action against a downstream system: a payment, a record change, an access grant, or a code deployment.</w:t>
      </w:r>
    </w:p>
    <w:p w14:paraId="6E07159A" w14:textId="77777777" w:rsidR="00630991" w:rsidRPr="00705C7B" w:rsidRDefault="00207B12">
      <w:pPr>
        <w:spacing w:after="140" w:line="254" w:lineRule="auto"/>
      </w:pPr>
      <w:r w:rsidRPr="00705C7B">
        <w:rPr>
          <w:rFonts w:ascii="Aptos" w:hAnsi="Aptos"/>
        </w:rPr>
        <w:t>Most AI governance programs still sit too far upstream or too far downstream. Upstream controls govern the model before deployment; downstream controls review behavior after the fact. Both are needed. The missing layer is the control point between generated output and business action, where the enterprise decides whether the AI influenced work may proceed, requires review, or must be stopped before consequence is created.</w:t>
      </w:r>
    </w:p>
    <w:p w14:paraId="20D4B500" w14:textId="77777777" w:rsidR="00630991" w:rsidRPr="00705C7B" w:rsidRDefault="00207B12">
      <w:pPr>
        <w:spacing w:after="140" w:line="254" w:lineRule="auto"/>
      </w:pPr>
      <w:r w:rsidRPr="00705C7B">
        <w:rPr>
          <w:rFonts w:ascii="Aptos" w:hAnsi="Aptos"/>
        </w:rPr>
        <w:t>The control point is not a dashboard and not a policy library. It is an execution boundary. The enterprise needs to know whether the output is eligible to influence the next step before a workflow, agent, employee, or operating process converts it into institutional action. Without that boundary, AI can become a silent participant in decisions while the organization continues to behave as if normal process controls are enough.</w:t>
      </w:r>
    </w:p>
    <w:p w14:paraId="1B3084D0" w14:textId="77777777" w:rsidR="00630991" w:rsidRPr="00705C7B" w:rsidRDefault="00207B12">
      <w:pPr>
        <w:spacing w:after="140" w:line="254" w:lineRule="auto"/>
      </w:pPr>
      <w:r w:rsidRPr="00705C7B">
        <w:rPr>
          <w:rFonts w:ascii="Aptos" w:hAnsi="Aptos"/>
        </w:rPr>
        <w:t>NIST's AI Risk Management Framework defines the AI RMF Core through govern, map, measure, and manage functions, which support structured AI risk management across organizations. The public framework gives enterprises a disciplined way to organize AI risk activity. The unresolved operating problem appears when those functions are translated into internal governance, yet the enterprise still lacks an explicit control layer at the moment AI output becomes eligible to affect execution.</w:t>
      </w:r>
      <w:r w:rsidRPr="00705C7B">
        <w:rPr>
          <w:rFonts w:ascii="Aptos" w:hAnsi="Aptos"/>
          <w:color w:val="E86811"/>
          <w:vertAlign w:val="superscript"/>
        </w:rPr>
        <w:t>1</w:t>
      </w:r>
    </w:p>
    <w:p w14:paraId="2F63E1CD" w14:textId="77777777" w:rsidR="00630991" w:rsidRPr="00705C7B" w:rsidRDefault="00207B12">
      <w:pPr>
        <w:spacing w:after="140" w:line="254" w:lineRule="auto"/>
      </w:pPr>
      <w:r w:rsidRPr="00705C7B">
        <w:rPr>
          <w:rFonts w:ascii="Aptos" w:hAnsi="Aptos"/>
        </w:rPr>
        <w:t>AI output does not need to be autonomous to create risk. An analyst may adopt a summary, or a reviewer may accept a classification. Review standards and supervision govern that reliance. DAL-X addresses a narrower point. When the resulting action is submitted for execution, the downstream system rejects it without valid authority for the exact action.</w:t>
      </w:r>
    </w:p>
    <w:p w14:paraId="25DA3ED4" w14:textId="77777777" w:rsidR="00630991" w:rsidRPr="00705C7B" w:rsidRDefault="00207B12">
      <w:pPr>
        <w:spacing w:after="140" w:line="254" w:lineRule="auto"/>
      </w:pPr>
      <w:r w:rsidRPr="00705C7B">
        <w:rPr>
          <w:rFonts w:ascii="Aptos" w:hAnsi="Aptos"/>
        </w:rPr>
        <w:t>A customer remediation team may use AI to classify complaints by severity. Review standards govern how staff rely on that classification. When an agent proposes to close a case, issue a refund, or change a customer record, the enterprise needs valid authority for that exact action before the system executes it.</w:t>
      </w:r>
      <w:r w:rsidRPr="00705C7B">
        <w:rPr>
          <w:rFonts w:ascii="Aptos" w:hAnsi="Aptos"/>
        </w:rPr>
        <w:lastRenderedPageBreak/>
        <w:t/>
      </w:r>
    </w:p>
    <w:p w14:paraId="40A91E30" w14:textId="77777777" w:rsidR="00630991" w:rsidRDefault="00207B12">
      <w:pPr>
        <w:spacing w:before="100"/>
        <w:jc w:val="center"/>
      </w:pPr>
      <w:r>
        <w:rPr>
          <w:noProof/>
        </w:rPr>
        <w:drawing>
          <wp:inline distT="0" distB="0" distL="0" distR="0" wp14:anchorId="1154B773" wp14:editId="5A527686">
            <wp:extent cx="6824207" cy="1016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efing05_micro_clean.png"/>
                    <pic:cNvPicPr/>
                  </pic:nvPicPr>
                  <pic:blipFill>
                    <a:blip r:embed="rId9"/>
                    <a:stretch>
                      <a:fillRect/>
                    </a:stretch>
                  </pic:blipFill>
                  <pic:spPr>
                    <a:xfrm>
                      <a:off x="0" y="0"/>
                      <a:ext cx="6834162" cy="1017482"/>
                    </a:xfrm>
                    <a:prstGeom prst="rect">
                      <a:avLst/>
                    </a:prstGeom>
                  </pic:spPr>
                </pic:pic>
              </a:graphicData>
            </a:graphic>
          </wp:inline>
        </w:drawing>
      </w:r>
    </w:p>
    <w:p w14:paraId="32F7E2BE" w14:textId="77777777" w:rsidR="00630991" w:rsidRPr="00705C7B" w:rsidRDefault="00207B12">
      <w:pPr>
        <w:spacing w:after="140" w:line="254" w:lineRule="auto"/>
      </w:pPr>
      <w:r w:rsidRPr="00705C7B">
        <w:rPr>
          <w:rFonts w:ascii="Aptos" w:hAnsi="Aptos"/>
        </w:rPr>
        <w:t xml:space="preserve">The same exposure appears in agentic workflows with more force. An agent operating inside a workflow can move through multiple consequential steps without an authority check. Once agents begin operating inside workflows, the control problem is no longer limited to model quality. The organization needs an enforceable boundary before generated work becomes executable work. </w:t>
      </w:r>
      <w:proofErr w:type="gramStart"/>
      <w:r w:rsidRPr="00705C7B">
        <w:rPr>
          <w:rFonts w:ascii="Aptos" w:hAnsi="Aptos"/>
        </w:rPr>
        <w:t>Otherwise</w:t>
      </w:r>
      <w:proofErr w:type="gramEnd"/>
      <w:r w:rsidRPr="00705C7B">
        <w:rPr>
          <w:rFonts w:ascii="Aptos" w:hAnsi="Aptos"/>
        </w:rPr>
        <w:t xml:space="preserve"> speed becomes a substitute for judgment, and automation begins to outrun authority.</w:t>
      </w:r>
    </w:p>
    <w:p w14:paraId="6AC25B8D" w14:textId="77777777" w:rsidR="00630991" w:rsidRPr="00705C7B" w:rsidRDefault="00207B12">
      <w:pPr>
        <w:spacing w:after="140" w:line="254" w:lineRule="auto"/>
      </w:pPr>
      <w:r w:rsidRPr="00705C7B">
        <w:rPr>
          <w:rFonts w:ascii="Aptos" w:hAnsi="Aptos"/>
        </w:rPr>
        <w:t>Public governance language already points in this direction. The OECD AI Principles and the EU AI Act both reinforce the need for traceability and oversight. Enterprises need more than awareness that AI participated. They need proof that AI shaped work was governed before it crossed into action.</w:t>
      </w:r>
      <w:proofErr w:type="gramStart"/>
      <w:r w:rsidRPr="00705C7B">
        <w:rPr>
          <w:rFonts w:ascii="Aptos" w:hAnsi="Aptos"/>
        </w:rPr>
      </w:r>
      <w:proofErr w:type="gramEnd"/>
      <w:r w:rsidRPr="00705C7B">
        <w:rPr>
          <w:rFonts w:ascii="Aptos" w:hAnsi="Aptos"/>
        </w:rPr>
      </w:r>
      <w:r w:rsidRPr="00705C7B">
        <w:rPr>
          <w:rFonts w:ascii="Aptos" w:hAnsi="Aptos"/>
          <w:color w:val="E86811"/>
          <w:vertAlign w:val="superscript"/>
        </w:rPr>
        <w:t>2</w:t>
      </w:r>
    </w:p>
    <w:p w14:paraId="3D3F29D5" w14:textId="77777777" w:rsidR="00630991" w:rsidRPr="00705C7B" w:rsidRDefault="00207B12">
      <w:pPr>
        <w:spacing w:after="140" w:line="254" w:lineRule="auto"/>
      </w:pPr>
      <w:r w:rsidRPr="00705C7B">
        <w:rPr>
          <w:rFonts w:ascii="Aptos" w:hAnsi="Aptos"/>
        </w:rPr>
        <w:t>The layer between output and execution should answer operational questions that policy alone cannot answer in real time. What type of work did AI produce? Which decision could it affect? What consequence level is attached to that decision? Who holds authority over the next step? Which trigger condition applies? Is review mandatory? Can the action continue automatically? Does an override require a reason code? What evidence must be preserved before the workflow moves forward?</w:t>
      </w:r>
    </w:p>
    <w:p w14:paraId="3B34A2A7" w14:textId="77777777" w:rsidR="00630991" w:rsidRPr="00705C7B" w:rsidRDefault="00207B12">
      <w:pPr>
        <w:spacing w:after="140" w:line="254" w:lineRule="auto"/>
      </w:pPr>
      <w:r w:rsidRPr="00705C7B">
        <w:rPr>
          <w:rFonts w:ascii="Aptos" w:hAnsi="Aptos"/>
        </w:rPr>
        <w:t>Those questions belong inside the operating path, not in a quarterly governance review. A quarterly review may find patterns after the fact. The control layer acts at the point where the institution still has the ability to stop, redirect, escalate, or authorize the action. The closer the control sits to execution, the more useful it becomes for preventing unauthorized consequence rather than merely explaining it later.</w:t>
      </w:r>
    </w:p>
    <w:p w14:paraId="6D50A513" w14:textId="77777777" w:rsidR="00630991" w:rsidRPr="00705C7B" w:rsidRDefault="00207B12">
      <w:pPr>
        <w:spacing w:after="140" w:line="254" w:lineRule="auto"/>
      </w:pPr>
      <w:r w:rsidRPr="00705C7B">
        <w:rPr>
          <w:rFonts w:ascii="Aptos" w:hAnsi="Aptos"/>
        </w:rPr>
        <w:t>The category problem is becoming clearer because existing labels do not fully name this layer. Model governance manages the system, AI governance organizes risk and accountability, observability shows behavior, compliance readiness prepares evidence, and workflow automation moves work through a process. None of those labels fully describe the authority checkpoint between AI generated output and enterprise execution.</w:t>
      </w:r>
    </w:p>
    <w:p w14:paraId="49D9C3E3" w14:textId="77777777" w:rsidR="00630991" w:rsidRPr="00705C7B" w:rsidRDefault="00207B12">
      <w:pPr>
        <w:spacing w:after="140" w:line="254" w:lineRule="auto"/>
      </w:pPr>
      <w:r w:rsidRPr="00705C7B">
        <w:rPr>
          <w:rFonts w:ascii="Aptos" w:hAnsi="Aptos"/>
        </w:rPr>
        <w:t>Decision Governance names the missing control discipline because consequence begins when an action executes. A model output may start the work, an agent may propose the action, and a human may approve it. The governed question is whether that exact execution had valid authority before it ran. A control layer between output and execution, enforced by the downstream system, gives the enterprise a place to answer that question before consequence becomes real.</w:t>
      </w:r>
    </w:p>
    <w:p w14:paraId="423CAA37" w14:textId="77777777" w:rsidR="00630991" w:rsidRPr="00705C7B" w:rsidRDefault="00207B12">
      <w:pPr>
        <w:spacing w:after="140" w:line="254" w:lineRule="auto"/>
      </w:pPr>
      <w:r w:rsidRPr="00705C7B">
        <w:rPr>
          <w:rFonts w:ascii="Aptos" w:hAnsi="Aptos"/>
        </w:rPr>
        <w:t>This is why enterprises need a control layer between AI output and execution. AI adoption will continue to accelerate, and the volume of generated work will only increase. The institutions that protect themselves will not be the ones that merely document output after it moves. They will be the ones that can prove which consequential executions were authorized before they ran.</w:t>
      </w:r>
    </w:p>
    <w:p w14:paraId="2C5AD626" w14:textId="77777777" w:rsidR="00630991" w:rsidRDefault="00207B12">
      <w:pPr>
        <w:spacing w:after="140" w:line="254" w:lineRule="auto"/>
        <w:rPr>
          <w:rFonts w:ascii="Aptos" w:hAnsi="Aptos"/>
          <w:b/>
          <w:sz w:val="21"/>
        </w:rPr>
      </w:pPr>
      <w:r>
        <w:rPr>
          <w:rFonts w:ascii="Aptos" w:hAnsi="Aptos"/>
          <w:b/>
          <w:sz w:val="21"/>
        </w:rPr>
        <w:t>The next enterprise control standard is not output visibility. It is governed passage from AI generated work into authorized action.</w:t>
      </w:r>
    </w:p>
    <w:p w14:paraId="7458884F" w14:textId="77777777" w:rsidR="00705C7B" w:rsidRDefault="00705C7B">
      <w:pPr>
        <w:spacing w:after="140" w:line="254" w:lineRule="auto"/>
        <w:rPr>
          <w:rFonts w:ascii="Aptos" w:hAnsi="Aptos"/>
          <w:b/>
          <w:sz w:val="21"/>
        </w:rPr>
      </w:pPr>
    </w:p>
    <w:p w14:paraId="4FB9031D" w14:textId="77777777" w:rsidR="00705C7B" w:rsidRDefault="00705C7B">
      <w:pPr>
        <w:spacing w:after="140" w:line="254" w:lineRule="auto"/>
        <w:rPr>
          <w:rFonts w:ascii="Aptos" w:hAnsi="Aptos"/>
          <w:b/>
          <w:sz w:val="21"/>
        </w:rPr>
      </w:pPr>
    </w:p>
    <w:p w14:paraId="6C37C2EA" w14:textId="77777777" w:rsidR="00705C7B" w:rsidRDefault="00705C7B">
      <w:pPr>
        <w:spacing w:after="140" w:line="254" w:lineRule="auto"/>
      </w:pPr>
    </w:p>
    <w:p w14:paraId="33D6454D" w14:textId="77777777" w:rsidR="00630991" w:rsidRDefault="00207B12">
      <w:pPr>
        <w:spacing w:before="160"/>
        <w:jc w:val="center"/>
      </w:pPr>
      <w:r>
        <w:rPr>
          <w:noProof/>
        </w:rPr>
        <w:drawing>
          <wp:inline distT="0" distB="0" distL="0" distR="0" wp14:anchorId="179E9F50" wp14:editId="46B6B4B3">
            <wp:extent cx="6824980" cy="83940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efing05_claim_clean.png"/>
                    <pic:cNvPicPr/>
                  </pic:nvPicPr>
                  <pic:blipFill>
                    <a:blip r:embed="rId10"/>
                    <a:stretch>
                      <a:fillRect/>
                    </a:stretch>
                  </pic:blipFill>
                  <pic:spPr>
                    <a:xfrm>
                      <a:off x="0" y="0"/>
                      <a:ext cx="6842286" cy="841532"/>
                    </a:xfrm>
                    <a:prstGeom prst="rect">
                      <a:avLst/>
                    </a:prstGeom>
                  </pic:spPr>
                </pic:pic>
              </a:graphicData>
            </a:graphic>
          </wp:inline>
        </w:drawing>
      </w:r>
    </w:p>
    <w:p w14:paraId="3E2D581D" w14:textId="74FEB907" w:rsidR="00630991" w:rsidRPr="00705C7B" w:rsidRDefault="00207B12" w:rsidP="00705C7B">
      <w:pPr>
        <w:rPr>
          <w:rFonts w:ascii="Georgia" w:hAnsi="Georgia"/>
        </w:rPr>
      </w:pPr>
      <w:r w:rsidRPr="00705C7B">
        <w:rPr>
          <w:rFonts w:ascii="Georgia" w:hAnsi="Georgia"/>
          <w:b/>
          <w:color w:val="E86811"/>
          <w:sz w:val="44"/>
        </w:rPr>
        <w:t>Source Notes</w:t>
      </w:r>
    </w:p>
    <w:p w14:paraId="6C9A32C4" w14:textId="77777777" w:rsidR="00630991" w:rsidRPr="00705C7B" w:rsidRDefault="00207B12">
      <w:pPr>
        <w:spacing w:after="80" w:line="240" w:lineRule="auto"/>
        <w:rPr>
          <w:sz w:val="18"/>
          <w:szCs w:val="18"/>
        </w:rPr>
      </w:pPr>
      <w:r w:rsidRPr="00705C7B">
        <w:rPr>
          <w:rFonts w:ascii="Aptos" w:hAnsi="Aptos"/>
          <w:b/>
          <w:color w:val="E86811"/>
          <w:sz w:val="18"/>
          <w:szCs w:val="18"/>
        </w:rPr>
        <w:t xml:space="preserve">1. </w:t>
      </w:r>
      <w:r w:rsidRPr="00705C7B">
        <w:rPr>
          <w:rFonts w:ascii="Aptos" w:hAnsi="Aptos"/>
          <w:sz w:val="18"/>
          <w:szCs w:val="18"/>
        </w:rPr>
        <w:t>NIST AI Risk Management Framework. The AI RMF Core is composed of four high level functions: Govern, Map, Measure, and Manage. Source: https://airc.nist.gov/airmf-resources/airmf/5-sec-core/</w:t>
      </w:r>
    </w:p>
    <w:p w14:paraId="729A680F" w14:textId="77777777" w:rsidR="00630991" w:rsidRPr="00705C7B" w:rsidRDefault="00207B12">
      <w:pPr>
        <w:spacing w:after="80" w:line="240" w:lineRule="auto"/>
        <w:rPr>
          <w:sz w:val="18"/>
          <w:szCs w:val="18"/>
        </w:rPr>
      </w:pPr>
      <w:r w:rsidRPr="00705C7B">
        <w:rPr>
          <w:rFonts w:ascii="Aptos" w:hAnsi="Aptos"/>
          <w:b/>
          <w:color w:val="E86811"/>
          <w:sz w:val="18"/>
          <w:szCs w:val="18"/>
        </w:rPr>
        <w:t xml:space="preserve">2. </w:t>
      </w:r>
      <w:r w:rsidRPr="00705C7B">
        <w:rPr>
          <w:rFonts w:ascii="Aptos" w:hAnsi="Aptos"/>
          <w:sz w:val="18"/>
          <w:szCs w:val="18"/>
        </w:rPr>
        <w:t>OECD AI Principles. Accountability includes traceability in relation to datasets, processes, and decisions made during the AI system lifecycle. Source: https://www.oecd.org/en/topics/sub-issues/ai-principles.html</w:t>
      </w:r>
    </w:p>
    <w:p w14:paraId="28970628" w14:textId="77777777" w:rsidR="00630991" w:rsidRPr="00705C7B" w:rsidRDefault="00207B12">
      <w:pPr>
        <w:spacing w:after="80" w:line="240" w:lineRule="auto"/>
        <w:rPr>
          <w:sz w:val="18"/>
          <w:szCs w:val="18"/>
        </w:rPr>
      </w:pPr>
      <w:r w:rsidRPr="00705C7B">
        <w:rPr>
          <w:rFonts w:ascii="Aptos" w:hAnsi="Aptos"/>
          <w:b/>
          <w:color w:val="E86811"/>
          <w:sz w:val="18"/>
          <w:szCs w:val="18"/>
        </w:rPr>
        <w:t xml:space="preserve">3. </w:t>
      </w:r>
      <w:r w:rsidRPr="00705C7B">
        <w:rPr>
          <w:rFonts w:ascii="Aptos" w:hAnsi="Aptos"/>
          <w:sz w:val="18"/>
          <w:szCs w:val="18"/>
        </w:rPr>
        <w:t>EU AI Act, Article 12. High risk AI systems shall technically allow for automatic recording of events over the lifetime of the system. Source: https://eur-lex.europa.eu/eli/reg/2024/1689/oj</w:t>
      </w:r>
    </w:p>
    <w:p w14:paraId="44D3E600" w14:textId="77777777" w:rsidR="00630991" w:rsidRPr="00705C7B" w:rsidRDefault="00207B12">
      <w:pPr>
        <w:spacing w:after="80" w:line="240" w:lineRule="auto"/>
        <w:rPr>
          <w:sz w:val="18"/>
          <w:szCs w:val="18"/>
        </w:rPr>
      </w:pPr>
      <w:r w:rsidRPr="00705C7B">
        <w:rPr>
          <w:rFonts w:ascii="Aptos" w:hAnsi="Aptos"/>
          <w:b/>
          <w:color w:val="E86811"/>
          <w:sz w:val="18"/>
          <w:szCs w:val="18"/>
        </w:rPr>
        <w:t xml:space="preserve">4. </w:t>
      </w:r>
      <w:r w:rsidRPr="00705C7B">
        <w:rPr>
          <w:rFonts w:ascii="Aptos" w:hAnsi="Aptos"/>
          <w:sz w:val="18"/>
          <w:szCs w:val="18"/>
        </w:rPr>
        <w:t xml:space="preserve">EU AI Act, Article 14. Human oversight for </w:t>
      </w:r>
      <w:proofErr w:type="gramStart"/>
      <w:r w:rsidRPr="00705C7B">
        <w:rPr>
          <w:rFonts w:ascii="Aptos" w:hAnsi="Aptos"/>
          <w:sz w:val="18"/>
          <w:szCs w:val="18"/>
        </w:rPr>
        <w:t>high risk</w:t>
      </w:r>
      <w:proofErr w:type="gramEnd"/>
      <w:r w:rsidRPr="00705C7B">
        <w:rPr>
          <w:rFonts w:ascii="Aptos" w:hAnsi="Aptos"/>
          <w:sz w:val="18"/>
          <w:szCs w:val="18"/>
        </w:rPr>
        <w:t xml:space="preserve"> AI systems aims to prevent or minimise risks to health, safety, or fundamental rights. Source: https://eur-lex.europa.eu/eli/reg/2024/1689/oj</w:t>
      </w:r>
    </w:p>
    <w:p w14:paraId="649D4D1D" w14:textId="77777777" w:rsidR="00126A74" w:rsidRPr="004F118A" w:rsidRDefault="00126A74" w:rsidP="00126A74">
      <w:pPr>
        <w:spacing w:after="0" w:line="240" w:lineRule="auto"/>
        <w:rPr>
          <w:rFonts w:ascii="Aptos" w:hAnsi="Aptos"/>
          <w:sz w:val="18"/>
          <w:szCs w:val="18"/>
        </w:rPr>
      </w:pPr>
      <w:r w:rsidRPr="004F118A">
        <w:rPr>
          <w:rFonts w:ascii="Aptos" w:hAnsi="Aptos"/>
          <w:b/>
          <w:color w:val="E86811"/>
          <w:sz w:val="18"/>
          <w:szCs w:val="18"/>
        </w:rPr>
        <w:t xml:space="preserve">Prepared for: </w:t>
      </w:r>
      <w:r w:rsidRPr="004F118A">
        <w:rPr>
          <w:rFonts w:ascii="Aptos" w:hAnsi="Aptos"/>
          <w:sz w:val="18"/>
          <w:szCs w:val="18"/>
        </w:rPr>
        <w:t xml:space="preserve">Kevin Moore, Founder, </w:t>
      </w:r>
      <w:proofErr w:type="spellStart"/>
      <w:r w:rsidRPr="004F118A">
        <w:rPr>
          <w:rFonts w:ascii="Aptos" w:hAnsi="Aptos"/>
          <w:sz w:val="18"/>
          <w:szCs w:val="18"/>
        </w:rPr>
        <w:t>Jochanni</w:t>
      </w:r>
      <w:proofErr w:type="spellEnd"/>
      <w:r w:rsidRPr="004F118A">
        <w:rPr>
          <w:rFonts w:ascii="Aptos" w:hAnsi="Aptos"/>
          <w:sz w:val="18"/>
          <w:szCs w:val="18"/>
        </w:rPr>
        <w:t xml:space="preserve"> Labs</w:t>
      </w:r>
    </w:p>
    <w:p w14:paraId="01A44827" w14:textId="77777777" w:rsidR="00126A74" w:rsidRDefault="00126A74" w:rsidP="00126A74">
      <w:pPr>
        <w:spacing w:after="0" w:line="240" w:lineRule="auto"/>
      </w:pPr>
      <w:r w:rsidRPr="004F118A">
        <w:rPr>
          <w:rFonts w:ascii="Aptos" w:hAnsi="Aptos"/>
          <w:b/>
          <w:color w:val="FF6A00"/>
          <w:sz w:val="18"/>
          <w:szCs w:val="18"/>
        </w:rPr>
        <w:t>Publication series: Decision Governance Strategic Intelligence Series</w:t>
      </w:r>
    </w:p>
    <w:p w14:paraId="6E0FFFB2" w14:textId="550CBC36" w:rsidR="00630991" w:rsidRDefault="00630991" w:rsidP="00126A74">
      <w:pPr>
        <w:spacing w:after="0" w:line="240" w:lineRule="auto"/>
      </w:pPr>
    </w:p>
    <w:sectPr w:rsidR="00630991" w:rsidSect="00034616">
      <w:headerReference w:type="default" r:id="rId11"/>
      <w:footerReference w:type="default" r:id="rId12"/>
      <w:pgSz w:w="12240" w:h="15840"/>
      <w:pgMar w:top="547" w:right="749" w:bottom="648" w:left="74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B9E076" w14:textId="77777777" w:rsidR="005918E1" w:rsidRDefault="005918E1">
      <w:pPr>
        <w:spacing w:after="0" w:line="240" w:lineRule="auto"/>
      </w:pPr>
      <w:r>
        <w:separator/>
      </w:r>
    </w:p>
  </w:endnote>
  <w:endnote w:type="continuationSeparator" w:id="0">
    <w:p w14:paraId="62A8E370" w14:textId="77777777" w:rsidR="005918E1" w:rsidRDefault="005918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C6076" w14:textId="77777777" w:rsidR="00630991" w:rsidRDefault="00207B12">
    <w:pPr>
      <w:pStyle w:val="Footer"/>
      <w:jc w:val="center"/>
    </w:pPr>
    <w:r>
      <w:rPr>
        <w:rFonts w:ascii="Aptos" w:hAnsi="Aptos"/>
        <w:color w:val="787878"/>
        <w:sz w:val="16"/>
      </w:rPr>
      <w:t>Why Enterprises Need a Control Layer Between AI Output and Execution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0C661F" w14:textId="77777777" w:rsidR="005918E1" w:rsidRDefault="005918E1">
      <w:pPr>
        <w:spacing w:after="0" w:line="240" w:lineRule="auto"/>
      </w:pPr>
      <w:r>
        <w:separator/>
      </w:r>
    </w:p>
  </w:footnote>
  <w:footnote w:type="continuationSeparator" w:id="0">
    <w:p w14:paraId="04116102" w14:textId="77777777" w:rsidR="005918E1" w:rsidRDefault="005918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B5D88" w14:textId="77777777" w:rsidR="00630991" w:rsidRDefault="00207B12">
    <w:pPr>
      <w:pStyle w:val="Header"/>
      <w:jc w:val="right"/>
    </w:pPr>
    <w:proofErr w:type="spellStart"/>
    <w:r>
      <w:rPr>
        <w:rFonts w:ascii="Aptos" w:hAnsi="Aptos"/>
        <w:b/>
        <w:color w:val="E86811"/>
        <w:sz w:val="17"/>
      </w:rPr>
      <w:t>Jochanni</w:t>
    </w:r>
    <w:proofErr w:type="spellEnd"/>
    <w:r>
      <w:rPr>
        <w:rFonts w:ascii="Aptos" w:hAnsi="Aptos"/>
        <w:b/>
        <w:color w:val="E86811"/>
        <w:sz w:val="17"/>
      </w:rPr>
      <w:t xml:space="preserve"> Labs  |  Decision Governance Strategic Intelligence Series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16937375">
    <w:abstractNumId w:val="8"/>
  </w:num>
  <w:num w:numId="2" w16cid:durableId="280192146">
    <w:abstractNumId w:val="6"/>
  </w:num>
  <w:num w:numId="3" w16cid:durableId="966855633">
    <w:abstractNumId w:val="5"/>
  </w:num>
  <w:num w:numId="4" w16cid:durableId="1574312718">
    <w:abstractNumId w:val="4"/>
  </w:num>
  <w:num w:numId="5" w16cid:durableId="1526165832">
    <w:abstractNumId w:val="7"/>
  </w:num>
  <w:num w:numId="6" w16cid:durableId="1918393307">
    <w:abstractNumId w:val="3"/>
  </w:num>
  <w:num w:numId="7" w16cid:durableId="1425566636">
    <w:abstractNumId w:val="2"/>
  </w:num>
  <w:num w:numId="8" w16cid:durableId="1287274251">
    <w:abstractNumId w:val="1"/>
  </w:num>
  <w:num w:numId="9" w16cid:durableId="14161974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6A74"/>
    <w:rsid w:val="0015074B"/>
    <w:rsid w:val="00207B12"/>
    <w:rsid w:val="0029639D"/>
    <w:rsid w:val="00326F90"/>
    <w:rsid w:val="005918E1"/>
    <w:rsid w:val="00630991"/>
    <w:rsid w:val="00705C7B"/>
    <w:rsid w:val="00943EC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A379A5"/>
  <w14:defaultImageDpi w14:val="300"/>
  <w15:docId w15:val="{DC1DA09A-6D28-45EC-B6E8-1744211ACE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1131</Words>
  <Characters>6450</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Kevin Moore</cp:lastModifiedBy>
  <cp:revision>3</cp:revision>
  <dcterms:created xsi:type="dcterms:W3CDTF">2026-05-11T20:05:00Z</dcterms:created>
  <dcterms:modified xsi:type="dcterms:W3CDTF">2026-05-11T21:40:00Z</dcterms:modified>
  <cp:category/>
</cp:coreProperties>
</file>