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rPr>
          <w:b/>
          <w:bCs/>
        </w:rPr>
        <w:t xml:space="preserve">Çocuk Gelişim Uygulamaları</w:t>
      </w:r>
    </w:p>
    <w:p>
      <w:pPr>
        <w:spacing w:after="60"/>
      </w:pPr>
      <w:r>
        <w:rPr>
          <w:i/>
          <w:iCs/>
          <w:color w:val="555555"/>
          <w:sz w:val="24"/>
          <w:szCs w:val="24"/>
        </w:rPr>
        <w:t xml:space="preserve">Pazar Araştırması, İçerik Yönetimi, Gelir Modelleri ve Fikir Raporu</w:t>
      </w:r>
    </w:p>
    <w:p>
      <w:pPr>
        <w:spacing w:after="320"/>
      </w:pPr>
      <w:r>
        <w:rPr>
          <w:color w:val="777777"/>
          <w:sz w:val="20"/>
          <w:szCs w:val="20"/>
        </w:rPr>
        <w:t xml:space="preserve">8 Ağustos 2026  ·  Apple App Store ve Google Play odaklı</w:t>
      </w:r>
    </w:p>
    <w:p>
      <w:pPr>
        <w:pStyle w:val="Heading1"/>
        <w:spacing w:after="160" w:before="360"/>
      </w:pPr>
      <w:r>
        <w:t xml:space="preserve">Yönetici Özeti</w:t>
      </w:r>
    </w:p>
    <w:p>
      <w:pPr>
        <w:spacing w:after="200" w:line="276"/>
        <w:jc w:val="both"/>
      </w:pPr>
      <w:r>
        <w:rPr>
          <w:sz w:val="22"/>
          <w:szCs w:val="22"/>
        </w:rPr>
        <w:t xml:space="preserve">Çocuk gelişim ve eğitim uygulamaları pazarı, geniş “eğitim uygulamaları” tanımıyla 2026’da kabaca 80-95 milyar dolar büyüklüğünde; çocuklara özel dar segment ise 2-3 milyar dolar bandından başlayıp 2034-2035’e kadar yıllık yaklaşık %26-28 büyüyerek 17-27 milyar dolara ulaşması bekleniyor. Farklı araştırma şirketlerinin rakamları kapsam tanımına göre önemli ölçüde değişiyor; yine de yön nettir: pazar hem büyük hem hızlı büyüyor.</w:t>
      </w:r>
    </w:p>
    <w:p>
      <w:pPr>
        <w:spacing w:after="200" w:line="276"/>
        <w:jc w:val="both"/>
      </w:pPr>
      <w:r>
        <w:rPr>
          <w:sz w:val="22"/>
          <w:szCs w:val="22"/>
        </w:rPr>
        <w:t xml:space="preserve">Pazarda üç iş modeli öne çıkıyor: Khan Academy Kids gibi bağışla finanse edilen tamamen ücretsiz devler; Lingokids, Epic! ve Türkiye merkezli MentalUP gibi abonelik-artı-kurumsal-lisans hibritleri; ve Edudi gibi onlarca uygulamadan oluşan portföyle ölçek yakalayan oyuncular. Reklam tabanlı gelir, 2025 COPPA değişiklikleriyle ciddi şekilde daraldı: davranışsal hedefleme ve tam ekran (interstisyel) reklamlar çocuklara tamamen yasak; yalnızca bağlamsal ve insan denetimli reklamlar, sertifikalı ağlar üzerinden mümkün ve getirisi düşük.</w:t>
      </w:r>
    </w:p>
    <w:p>
      <w:pPr>
        <w:spacing w:after="200" w:line="276"/>
        <w:jc w:val="both"/>
      </w:pPr>
      <w:r>
        <w:rPr>
          <w:sz w:val="22"/>
          <w:szCs w:val="22"/>
        </w:rPr>
        <w:t xml:space="preserve">Araştırma; sosyal-duygusal öğrenme (SEL), nörofarklılık (otizm/DEHB) odaklı ürünler, Türkçe-öncelikli kaliteli içerik ve ekrandan gerçek dünyaya köprü kuran ebeveyn-çocuk tasarımlarını en belirgin boşluklar olarak işaret ediyor. Raporun sonunda bu boşluklara oturan beş somut uygulama fikri yer alıyor.</w:t>
      </w:r>
    </w:p>
    <w:p>
      <w:pPr>
        <w:pStyle w:val="Heading1"/>
        <w:spacing w:after="160" w:before="360"/>
      </w:pPr>
      <w:r>
        <w:t xml:space="preserve">1. Pazar Büyüklüğü ve Trendler</w:t>
      </w:r>
    </w:p>
    <w:p>
      <w:pPr>
        <w:spacing w:after="200" w:line="276"/>
        <w:jc w:val="both"/>
      </w:pPr>
      <w:r>
        <w:rPr>
          <w:sz w:val="22"/>
          <w:szCs w:val="22"/>
        </w:rPr>
        <w:t xml:space="preserve">Geniş tanımlı küresel eğitim uygulamaları pazarı için tahminler kaynağa göre değişiyor: bazı raporlar 2025 için ~86 milyar dolar, 2026 için ~95 milyar dolar öngörürken; başka raporlar 2026 başlangıç değerini ~77 milyar dolar alıp 2034’e kadar yıllık %15 büyüyerek ~270 milyar dolara ulaşacağını tahmin ediyor. Daha dar tanımlanan “çocuklar için uygulamalar” segmenti 2025-2026’da 2-2,8 milyar dolar bandında olup 2034-2035’e kadar %26-28 yıllık bileşik büyüme oranıyla (CAGR) 17-27 milyar dolara çıkması bekleniyor. Rakamlar arasındaki fark her raporun kapsamı farklı çizmesinden kaynaklanıyor; bu nedenle bu rakamları kesin değil, büyüklük mertebesi (order of magnitude) olarak okumak daha doğru.</w:t>
      </w:r>
    </w:p>
    <w:p>
      <w:pPr>
        <w:spacing w:after="200" w:line="276"/>
        <w:jc w:val="both"/>
      </w:pPr>
      <w:r>
        <w:rPr>
          <w:sz w:val="22"/>
          <w:szCs w:val="22"/>
        </w:rPr>
        <w:t xml:space="preserve">İki alt segment özellikle hızlı büyüyor. Sosyal-duygusal öğrenme (SEL) pazarı 2026’da ~2,7-4,8 milyar dolar aralığında olup %22-24,5 CAGR ile 2034’e kadar ~15,7 milyar dolara ulaşması bekleniyor; büyümenin arkasında okullarda ruh sağlığı farkındalığının artması ve SEL’in müfredatlara entegre edilmesi var. DEHB’ye özel uygulamalar pazarı 2026’da ~2 milyar dolar olup 2035’e kadar %11,9 CAGR ile ~5,5 milyar dolara çıkması öngörülüyor; 2024’te piyasaya sürülen 112 yeni DEHB uygulamasının yalnızca %37’si yapay zekâ destekli kişiselleştirme içeriyordu.</w:t>
      </w:r>
    </w:p>
    <w:p>
      <w:pPr>
        <w:spacing w:after="200" w:line="276"/>
        <w:jc w:val="both"/>
      </w:pPr>
      <w:r>
        <w:rPr>
          <w:sz w:val="22"/>
          <w:szCs w:val="22"/>
        </w:rPr>
        <w:t xml:space="preserve">2026 için öne çıkan tasarım trendleri: yapay zekâ destekli uyarlanabilir (adaptive) öğrenme — uygulamanın çocuğun güçlü ve zayıf yönlerini öğrenip zorluk seviyesini otomatik ayarlaması —, oyunlaştırmanın yoğunlaşması, STEM ve dil öğrenimine odaklanma, artırılmış gerçeklik entegrasyonu ve ebeveynlerin ekran süresi kaygısına yanıt veren “az ama kaliteli etkileşim” tasarım felsefesi.</w:t>
      </w:r>
    </w:p>
    <w:p>
      <w:pPr>
        <w:pStyle w:val="Heading1"/>
        <w:spacing w:after="160" w:before="360"/>
      </w:pPr>
      <w:r>
        <w:t xml:space="preserve">2. Rakip Haritası: Kim Ne Yapıyor</w:t>
      </w:r>
    </w:p>
    <w:p>
      <w:pPr>
        <w:spacing w:after="200" w:line="276"/>
        <w:jc w:val="both"/>
      </w:pPr>
      <w:r>
        <w:rPr>
          <w:sz w:val="22"/>
          <w:szCs w:val="22"/>
        </w:rPr>
        <w:t xml:space="preserve">Aşağıdaki tablo küresel ölçekte öne çıkan oyuncuları ve iki Türkiye merkezli başarı örneğini karşılaştırıyor. MentalUP ve Edudi’nin varlığı önemli bir sinyal: Türkiye merkezli bir ekibin bu kategoride küresel ölçeğe ulaşabileceğini gösteriyorlar. MentalUP 2015’te kurulup iki yıl içinde 25’in üzerinde ülkeye yayıldı ve Türk Telekom Ventures’tan yatırım aldı.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00"/>
        <w:gridCol w:w="1700"/>
        <w:gridCol w:w="1700"/>
        <w:gridCol w:w="3426"/>
      </w:tblGrid>
      <w:tr>
        <w:trPr>
          <w:tblHeader/>
        </w:trPr>
        <w:tc>
          <w:tcPr>
            <w:tcW w:type="dxa" w:w="1500"/>
            <w:shd w:fill="2F5496" w:color="auto" w:val="clear"/>
            <w:tcMar>
              <w:top w:type="dxa" w:w="100"/>
              <w:left w:type="dxa" w:w="120"/>
              <w:bottom w:type="dxa" w:w="100"/>
              <w:right w:type="dxa" w:w="120"/>
            </w:tcMar>
            <w:vAlign w:val="center"/>
          </w:tcPr>
          <w:p>
            <w:r>
              <w:rPr>
                <w:b/>
                <w:bCs/>
                <w:color w:val="FFFFFF"/>
                <w:sz w:val="19"/>
                <w:szCs w:val="19"/>
              </w:rPr>
              <w:t xml:space="preserve">Uygulama</w:t>
            </w:r>
          </w:p>
        </w:tc>
        <w:tc>
          <w:tcPr>
            <w:tcW w:type="dxa" w:w="700"/>
            <w:shd w:fill="2F5496" w:color="auto" w:val="clear"/>
            <w:tcMar>
              <w:top w:type="dxa" w:w="100"/>
              <w:left w:type="dxa" w:w="120"/>
              <w:bottom w:type="dxa" w:w="100"/>
              <w:right w:type="dxa" w:w="120"/>
            </w:tcMar>
            <w:vAlign w:val="center"/>
          </w:tcPr>
          <w:p>
            <w:r>
              <w:rPr>
                <w:b/>
                <w:bCs/>
                <w:color w:val="FFFFFF"/>
                <w:sz w:val="19"/>
                <w:szCs w:val="19"/>
              </w:rPr>
              <w:t xml:space="preserve">Yaş</w:t>
            </w:r>
          </w:p>
        </w:tc>
        <w:tc>
          <w:tcPr>
            <w:tcW w:type="dxa" w:w="1700"/>
            <w:shd w:fill="2F5496" w:color="auto" w:val="clear"/>
            <w:tcMar>
              <w:top w:type="dxa" w:w="100"/>
              <w:left w:type="dxa" w:w="120"/>
              <w:bottom w:type="dxa" w:w="100"/>
              <w:right w:type="dxa" w:w="120"/>
            </w:tcMar>
            <w:vAlign w:val="center"/>
          </w:tcPr>
          <w:p>
            <w:r>
              <w:rPr>
                <w:b/>
                <w:bCs/>
                <w:color w:val="FFFFFF"/>
                <w:sz w:val="19"/>
                <w:szCs w:val="19"/>
              </w:rPr>
              <w:t xml:space="preserve">İş Modeli</w:t>
            </w:r>
          </w:p>
        </w:tc>
        <w:tc>
          <w:tcPr>
            <w:tcW w:type="dxa" w:w="1700"/>
            <w:shd w:fill="2F5496" w:color="auto" w:val="clear"/>
            <w:tcMar>
              <w:top w:type="dxa" w:w="100"/>
              <w:left w:type="dxa" w:w="120"/>
              <w:bottom w:type="dxa" w:w="100"/>
              <w:right w:type="dxa" w:w="120"/>
            </w:tcMar>
            <w:vAlign w:val="center"/>
          </w:tcPr>
          <w:p>
            <w:r>
              <w:rPr>
                <w:b/>
                <w:bCs/>
                <w:color w:val="FFFFFF"/>
                <w:sz w:val="19"/>
                <w:szCs w:val="19"/>
              </w:rPr>
              <w:t xml:space="preserve">Fiyatlandırma</w:t>
            </w:r>
          </w:p>
        </w:tc>
        <w:tc>
          <w:tcPr>
            <w:tcW w:type="dxa" w:w="3426"/>
            <w:shd w:fill="2F5496" w:color="auto" w:val="clear"/>
            <w:tcMar>
              <w:top w:type="dxa" w:w="100"/>
              <w:left w:type="dxa" w:w="120"/>
              <w:bottom w:type="dxa" w:w="100"/>
              <w:right w:type="dxa" w:w="120"/>
            </w:tcMar>
            <w:vAlign w:val="center"/>
          </w:tcPr>
          <w:p>
            <w:r>
              <w:rPr>
                <w:b/>
                <w:bCs/>
                <w:color w:val="FFFFFF"/>
                <w:sz w:val="19"/>
                <w:szCs w:val="19"/>
              </w:rPr>
              <w:t xml:space="preserve">Öne Çıkan Özellik</w:t>
            </w:r>
          </w:p>
        </w:tc>
      </w:tr>
      <w:tr>
        <w:tc>
          <w:tcPr>
            <w:tcW w:type="dxa" w:w="1500"/>
            <w:tcMar>
              <w:top w:type="dxa" w:w="100"/>
              <w:left w:type="dxa" w:w="120"/>
              <w:bottom w:type="dxa" w:w="100"/>
              <w:right w:type="dxa" w:w="120"/>
            </w:tcMar>
            <w:vAlign w:val="center"/>
          </w:tcPr>
          <w:p>
            <w:r>
              <w:rPr>
                <w:b w:val="false"/>
                <w:bCs w:val="false"/>
                <w:color w:val="000000"/>
                <w:sz w:val="19"/>
                <w:szCs w:val="19"/>
              </w:rPr>
              <w:t xml:space="preserve">Khan Academy Kids</w:t>
            </w:r>
          </w:p>
        </w:tc>
        <w:tc>
          <w:tcPr>
            <w:tcW w:type="dxa" w:w="700"/>
            <w:tcMar>
              <w:top w:type="dxa" w:w="100"/>
              <w:left w:type="dxa" w:w="120"/>
              <w:bottom w:type="dxa" w:w="100"/>
              <w:right w:type="dxa" w:w="120"/>
            </w:tcMar>
            <w:vAlign w:val="center"/>
          </w:tcPr>
          <w:p>
            <w:r>
              <w:rPr>
                <w:b w:val="false"/>
                <w:bCs w:val="false"/>
                <w:color w:val="000000"/>
                <w:sz w:val="19"/>
                <w:szCs w:val="19"/>
              </w:rPr>
              <w:t xml:space="preserve">2-8</w:t>
            </w:r>
          </w:p>
        </w:tc>
        <w:tc>
          <w:tcPr>
            <w:tcW w:type="dxa" w:w="1700"/>
            <w:tcMar>
              <w:top w:type="dxa" w:w="100"/>
              <w:left w:type="dxa" w:w="120"/>
              <w:bottom w:type="dxa" w:w="100"/>
              <w:right w:type="dxa" w:w="120"/>
            </w:tcMar>
            <w:vAlign w:val="center"/>
          </w:tcPr>
          <w:p>
            <w:r>
              <w:rPr>
                <w:b w:val="false"/>
                <w:bCs w:val="false"/>
                <w:color w:val="000000"/>
                <w:sz w:val="19"/>
                <w:szCs w:val="19"/>
              </w:rPr>
              <w:t xml:space="preserve">Ücretsiz (bağış/STK)</w:t>
            </w:r>
          </w:p>
        </w:tc>
        <w:tc>
          <w:tcPr>
            <w:tcW w:type="dxa" w:w="1700"/>
            <w:tcMar>
              <w:top w:type="dxa" w:w="100"/>
              <w:left w:type="dxa" w:w="120"/>
              <w:bottom w:type="dxa" w:w="100"/>
              <w:right w:type="dxa" w:w="120"/>
            </w:tcMar>
            <w:vAlign w:val="center"/>
          </w:tcPr>
          <w:p>
            <w:r>
              <w:rPr>
                <w:b w:val="false"/>
                <w:bCs w:val="false"/>
                <w:color w:val="000000"/>
                <w:sz w:val="19"/>
                <w:szCs w:val="19"/>
              </w:rPr>
              <w:t xml:space="preserve">Ücretsiz, reklamsız</w:t>
            </w:r>
          </w:p>
        </w:tc>
        <w:tc>
          <w:tcPr>
            <w:tcW w:type="dxa" w:w="3426"/>
            <w:tcMar>
              <w:top w:type="dxa" w:w="100"/>
              <w:left w:type="dxa" w:w="120"/>
              <w:bottom w:type="dxa" w:w="100"/>
              <w:right w:type="dxa" w:w="120"/>
            </w:tcMar>
            <w:vAlign w:val="center"/>
          </w:tcPr>
          <w:p>
            <w:r>
              <w:rPr>
                <w:b w:val="false"/>
                <w:bCs w:val="false"/>
                <w:color w:val="000000"/>
                <w:sz w:val="19"/>
                <w:szCs w:val="19"/>
              </w:rPr>
              <w:t xml:space="preserve">Stanford işbirliğiyle 5.000+ etkinlik; IAP yok</w:t>
            </w:r>
          </w:p>
        </w:tc>
      </w:tr>
      <w:tr>
        <w:tc>
          <w:tcPr>
            <w:tcW w:type="dxa" w:w="1500"/>
            <w:tcMar>
              <w:top w:type="dxa" w:w="100"/>
              <w:left w:type="dxa" w:w="120"/>
              <w:bottom w:type="dxa" w:w="100"/>
              <w:right w:type="dxa" w:w="120"/>
            </w:tcMar>
            <w:vAlign w:val="center"/>
          </w:tcPr>
          <w:p>
            <w:r>
              <w:rPr>
                <w:b w:val="false"/>
                <w:bCs w:val="false"/>
                <w:color w:val="000000"/>
                <w:sz w:val="19"/>
                <w:szCs w:val="19"/>
              </w:rPr>
              <w:t xml:space="preserve">ABCmouse</w:t>
            </w:r>
          </w:p>
        </w:tc>
        <w:tc>
          <w:tcPr>
            <w:tcW w:type="dxa" w:w="700"/>
            <w:tcMar>
              <w:top w:type="dxa" w:w="100"/>
              <w:left w:type="dxa" w:w="120"/>
              <w:bottom w:type="dxa" w:w="100"/>
              <w:right w:type="dxa" w:w="120"/>
            </w:tcMar>
            <w:vAlign w:val="center"/>
          </w:tcPr>
          <w:p>
            <w:r>
              <w:rPr>
                <w:b w:val="false"/>
                <w:bCs w:val="false"/>
                <w:color w:val="000000"/>
                <w:sz w:val="19"/>
                <w:szCs w:val="19"/>
              </w:rPr>
              <w:t xml:space="preserve">2-8</w:t>
            </w:r>
          </w:p>
        </w:tc>
        <w:tc>
          <w:tcPr>
            <w:tcW w:type="dxa" w:w="1700"/>
            <w:tcMar>
              <w:top w:type="dxa" w:w="100"/>
              <w:left w:type="dxa" w:w="120"/>
              <w:bottom w:type="dxa" w:w="100"/>
              <w:right w:type="dxa" w:w="120"/>
            </w:tcMar>
            <w:vAlign w:val="center"/>
          </w:tcPr>
          <w:p>
            <w:r>
              <w:rPr>
                <w:b w:val="false"/>
                <w:bCs w:val="false"/>
                <w:color w:val="000000"/>
                <w:sz w:val="19"/>
                <w:szCs w:val="19"/>
              </w:rPr>
              <w:t xml:space="preserve">Abonelik</w:t>
            </w:r>
          </w:p>
        </w:tc>
        <w:tc>
          <w:tcPr>
            <w:tcW w:type="dxa" w:w="1700"/>
            <w:tcMar>
              <w:top w:type="dxa" w:w="100"/>
              <w:left w:type="dxa" w:w="120"/>
              <w:bottom w:type="dxa" w:w="100"/>
              <w:right w:type="dxa" w:w="120"/>
            </w:tcMar>
            <w:vAlign w:val="center"/>
          </w:tcPr>
          <w:p>
            <w:r>
              <w:rPr>
                <w:b w:val="false"/>
                <w:bCs w:val="false"/>
                <w:color w:val="000000"/>
                <w:sz w:val="19"/>
                <w:szCs w:val="19"/>
              </w:rPr>
              <w:t xml:space="preserve">~12,99 $/ay veya indirimli yıllık</w:t>
            </w:r>
          </w:p>
        </w:tc>
        <w:tc>
          <w:tcPr>
            <w:tcW w:type="dxa" w:w="3426"/>
            <w:tcMar>
              <w:top w:type="dxa" w:w="100"/>
              <w:left w:type="dxa" w:w="120"/>
              <w:bottom w:type="dxa" w:w="100"/>
              <w:right w:type="dxa" w:w="120"/>
            </w:tcMar>
            <w:vAlign w:val="center"/>
          </w:tcPr>
          <w:p>
            <w:r>
              <w:rPr>
                <w:b w:val="false"/>
                <w:bCs w:val="false"/>
                <w:color w:val="000000"/>
                <w:sz w:val="19"/>
                <w:szCs w:val="19"/>
              </w:rPr>
              <w:t xml:space="preserve">850+ ders, 10 seviyeli müfredat (matematik/okuma/fen/sosyal)</w:t>
            </w:r>
          </w:p>
        </w:tc>
      </w:tr>
      <w:tr>
        <w:tc>
          <w:tcPr>
            <w:tcW w:type="dxa" w:w="1500"/>
            <w:tcMar>
              <w:top w:type="dxa" w:w="100"/>
              <w:left w:type="dxa" w:w="120"/>
              <w:bottom w:type="dxa" w:w="100"/>
              <w:right w:type="dxa" w:w="120"/>
            </w:tcMar>
            <w:vAlign w:val="center"/>
          </w:tcPr>
          <w:p>
            <w:r>
              <w:rPr>
                <w:b w:val="false"/>
                <w:bCs w:val="false"/>
                <w:color w:val="000000"/>
                <w:sz w:val="19"/>
                <w:szCs w:val="19"/>
              </w:rPr>
              <w:t xml:space="preserve">Lingokids</w:t>
            </w:r>
          </w:p>
        </w:tc>
        <w:tc>
          <w:tcPr>
            <w:tcW w:type="dxa" w:w="700"/>
            <w:tcMar>
              <w:top w:type="dxa" w:w="100"/>
              <w:left w:type="dxa" w:w="120"/>
              <w:bottom w:type="dxa" w:w="100"/>
              <w:right w:type="dxa" w:w="120"/>
            </w:tcMar>
            <w:vAlign w:val="center"/>
          </w:tcPr>
          <w:p>
            <w:r>
              <w:rPr>
                <w:b w:val="false"/>
                <w:bCs w:val="false"/>
                <w:color w:val="000000"/>
                <w:sz w:val="19"/>
                <w:szCs w:val="19"/>
              </w:rPr>
              <w:t xml:space="preserve">2-8</w:t>
            </w:r>
          </w:p>
        </w:tc>
        <w:tc>
          <w:tcPr>
            <w:tcW w:type="dxa" w:w="1700"/>
            <w:tcMar>
              <w:top w:type="dxa" w:w="100"/>
              <w:left w:type="dxa" w:w="120"/>
              <w:bottom w:type="dxa" w:w="100"/>
              <w:right w:type="dxa" w:w="120"/>
            </w:tcMar>
            <w:vAlign w:val="center"/>
          </w:tcPr>
          <w:p>
            <w:r>
              <w:rPr>
                <w:b w:val="false"/>
                <w:bCs w:val="false"/>
                <w:color w:val="000000"/>
                <w:sz w:val="19"/>
                <w:szCs w:val="19"/>
              </w:rPr>
              <w:t xml:space="preserve">Freemium + abonelik + B2B2C</w:t>
            </w:r>
          </w:p>
        </w:tc>
        <w:tc>
          <w:tcPr>
            <w:tcW w:type="dxa" w:w="1700"/>
            <w:tcMar>
              <w:top w:type="dxa" w:w="100"/>
              <w:left w:type="dxa" w:w="120"/>
              <w:bottom w:type="dxa" w:w="100"/>
              <w:right w:type="dxa" w:w="120"/>
            </w:tcMar>
            <w:vAlign w:val="center"/>
          </w:tcPr>
          <w:p>
            <w:r>
              <w:rPr>
                <w:b w:val="false"/>
                <w:bCs w:val="false"/>
                <w:color w:val="000000"/>
                <w:sz w:val="19"/>
                <w:szCs w:val="19"/>
              </w:rPr>
              <w:t xml:space="preserve">Freemium, aylık/yıllık abonelik</w:t>
            </w:r>
          </w:p>
        </w:tc>
        <w:tc>
          <w:tcPr>
            <w:tcW w:type="dxa" w:w="3426"/>
            <w:tcMar>
              <w:top w:type="dxa" w:w="100"/>
              <w:left w:type="dxa" w:w="120"/>
              <w:bottom w:type="dxa" w:w="100"/>
              <w:right w:type="dxa" w:w="120"/>
            </w:tcMar>
            <w:vAlign w:val="center"/>
          </w:tcPr>
          <w:p>
            <w:r>
              <w:rPr>
                <w:b w:val="false"/>
                <w:bCs w:val="false"/>
                <w:color w:val="000000"/>
                <w:sz w:val="19"/>
                <w:szCs w:val="19"/>
              </w:rPr>
              <w:t xml:space="preserve">185 milyon+ aile, 7,5 milyon aylık aktif kullanıcı; 2025’te 120 milyon $ yatırım aldı</w:t>
            </w:r>
          </w:p>
        </w:tc>
      </w:tr>
      <w:tr>
        <w:tc>
          <w:tcPr>
            <w:tcW w:type="dxa" w:w="1500"/>
            <w:tcMar>
              <w:top w:type="dxa" w:w="100"/>
              <w:left w:type="dxa" w:w="120"/>
              <w:bottom w:type="dxa" w:w="100"/>
              <w:right w:type="dxa" w:w="120"/>
            </w:tcMar>
            <w:vAlign w:val="center"/>
          </w:tcPr>
          <w:p>
            <w:r>
              <w:rPr>
                <w:b w:val="false"/>
                <w:bCs w:val="false"/>
                <w:color w:val="000000"/>
                <w:sz w:val="19"/>
                <w:szCs w:val="19"/>
              </w:rPr>
              <w:t xml:space="preserve">Epic!</w:t>
            </w:r>
          </w:p>
        </w:tc>
        <w:tc>
          <w:tcPr>
            <w:tcW w:type="dxa" w:w="700"/>
            <w:tcMar>
              <w:top w:type="dxa" w:w="100"/>
              <w:left w:type="dxa" w:w="120"/>
              <w:bottom w:type="dxa" w:w="100"/>
              <w:right w:type="dxa" w:w="120"/>
            </w:tcMar>
            <w:vAlign w:val="center"/>
          </w:tcPr>
          <w:p>
            <w:r>
              <w:rPr>
                <w:b w:val="false"/>
                <w:bCs w:val="false"/>
                <w:color w:val="000000"/>
                <w:sz w:val="19"/>
                <w:szCs w:val="19"/>
              </w:rPr>
              <w:t xml:space="preserve">2-12 (okuma)</w:t>
            </w:r>
          </w:p>
        </w:tc>
        <w:tc>
          <w:tcPr>
            <w:tcW w:type="dxa" w:w="1700"/>
            <w:tcMar>
              <w:top w:type="dxa" w:w="100"/>
              <w:left w:type="dxa" w:w="120"/>
              <w:bottom w:type="dxa" w:w="100"/>
              <w:right w:type="dxa" w:w="120"/>
            </w:tcMar>
            <w:vAlign w:val="center"/>
          </w:tcPr>
          <w:p>
            <w:r>
              <w:rPr>
                <w:b w:val="false"/>
                <w:bCs w:val="false"/>
                <w:color w:val="000000"/>
                <w:sz w:val="19"/>
                <w:szCs w:val="19"/>
              </w:rPr>
              <w:t xml:space="preserve">Freemium + okul lisansı</w:t>
            </w:r>
          </w:p>
        </w:tc>
        <w:tc>
          <w:tcPr>
            <w:tcW w:type="dxa" w:w="1700"/>
            <w:tcMar>
              <w:top w:type="dxa" w:w="100"/>
              <w:left w:type="dxa" w:w="120"/>
              <w:bottom w:type="dxa" w:w="100"/>
              <w:right w:type="dxa" w:w="120"/>
            </w:tcMar>
            <w:vAlign w:val="center"/>
          </w:tcPr>
          <w:p>
            <w:r>
              <w:rPr>
                <w:b w:val="false"/>
                <w:bCs w:val="false"/>
                <w:color w:val="000000"/>
                <w:sz w:val="19"/>
                <w:szCs w:val="19"/>
              </w:rPr>
              <w:t xml:space="preserve">9,99 $/ay bireysel; 11,99 $/ay aile (4 profile kadar)</w:t>
            </w:r>
          </w:p>
        </w:tc>
        <w:tc>
          <w:tcPr>
            <w:tcW w:type="dxa" w:w="3426"/>
            <w:tcMar>
              <w:top w:type="dxa" w:w="100"/>
              <w:left w:type="dxa" w:w="120"/>
              <w:bottom w:type="dxa" w:w="100"/>
              <w:right w:type="dxa" w:w="120"/>
            </w:tcMar>
            <w:vAlign w:val="center"/>
          </w:tcPr>
          <w:p>
            <w:r>
              <w:rPr>
                <w:b w:val="false"/>
                <w:bCs w:val="false"/>
                <w:color w:val="000000"/>
                <w:sz w:val="19"/>
                <w:szCs w:val="19"/>
              </w:rPr>
              <w:t xml:space="preserve">40.000+ kitap; doğrulanmış öğretmenlere tamamen ücretsiz</w:t>
            </w:r>
          </w:p>
        </w:tc>
      </w:tr>
      <w:tr>
        <w:tc>
          <w:tcPr>
            <w:tcW w:type="dxa" w:w="1500"/>
            <w:tcMar>
              <w:top w:type="dxa" w:w="100"/>
              <w:left w:type="dxa" w:w="120"/>
              <w:bottom w:type="dxa" w:w="100"/>
              <w:right w:type="dxa" w:w="120"/>
            </w:tcMar>
            <w:vAlign w:val="center"/>
          </w:tcPr>
          <w:p>
            <w:r>
              <w:rPr>
                <w:b w:val="false"/>
                <w:bCs w:val="false"/>
                <w:color w:val="000000"/>
                <w:sz w:val="19"/>
                <w:szCs w:val="19"/>
              </w:rPr>
              <w:t xml:space="preserve">Duolingo ABC</w:t>
            </w:r>
          </w:p>
        </w:tc>
        <w:tc>
          <w:tcPr>
            <w:tcW w:type="dxa" w:w="700"/>
            <w:tcMar>
              <w:top w:type="dxa" w:w="100"/>
              <w:left w:type="dxa" w:w="120"/>
              <w:bottom w:type="dxa" w:w="100"/>
              <w:right w:type="dxa" w:w="120"/>
            </w:tcMar>
            <w:vAlign w:val="center"/>
          </w:tcPr>
          <w:p>
            <w:r>
              <w:rPr>
                <w:b w:val="false"/>
                <w:bCs w:val="false"/>
                <w:color w:val="000000"/>
                <w:sz w:val="19"/>
                <w:szCs w:val="19"/>
              </w:rPr>
              <w:t xml:space="preserve">3-8 (okuma)</w:t>
            </w:r>
          </w:p>
        </w:tc>
        <w:tc>
          <w:tcPr>
            <w:tcW w:type="dxa" w:w="1700"/>
            <w:tcMar>
              <w:top w:type="dxa" w:w="100"/>
              <w:left w:type="dxa" w:w="120"/>
              <w:bottom w:type="dxa" w:w="100"/>
              <w:right w:type="dxa" w:w="120"/>
            </w:tcMar>
            <w:vAlign w:val="center"/>
          </w:tcPr>
          <w:p>
            <w:r>
              <w:rPr>
                <w:b w:val="false"/>
                <w:bCs w:val="false"/>
                <w:color w:val="000000"/>
                <w:sz w:val="19"/>
                <w:szCs w:val="19"/>
              </w:rPr>
              <w:t xml:space="preserve">Ücretsiz huni ürünü</w:t>
            </w:r>
          </w:p>
        </w:tc>
        <w:tc>
          <w:tcPr>
            <w:tcW w:type="dxa" w:w="1700"/>
            <w:tcMar>
              <w:top w:type="dxa" w:w="100"/>
              <w:left w:type="dxa" w:w="120"/>
              <w:bottom w:type="dxa" w:w="100"/>
              <w:right w:type="dxa" w:w="120"/>
            </w:tcMar>
            <w:vAlign w:val="center"/>
          </w:tcPr>
          <w:p>
            <w:r>
              <w:rPr>
                <w:b w:val="false"/>
                <w:bCs w:val="false"/>
                <w:color w:val="000000"/>
                <w:sz w:val="19"/>
                <w:szCs w:val="19"/>
              </w:rPr>
              <w:t xml:space="preserve">Tamamen ücretsiz, reklamsız, IAP yok</w:t>
            </w:r>
          </w:p>
        </w:tc>
        <w:tc>
          <w:tcPr>
            <w:tcW w:type="dxa" w:w="3426"/>
            <w:tcMar>
              <w:top w:type="dxa" w:w="100"/>
              <w:left w:type="dxa" w:w="120"/>
              <w:bottom w:type="dxa" w:w="100"/>
              <w:right w:type="dxa" w:w="120"/>
            </w:tcMar>
            <w:vAlign w:val="center"/>
          </w:tcPr>
          <w:p>
            <w:r>
              <w:rPr>
                <w:b w:val="false"/>
                <w:bCs w:val="false"/>
                <w:color w:val="000000"/>
                <w:sz w:val="19"/>
                <w:szCs w:val="19"/>
              </w:rPr>
              <w:t xml:space="preserve">Duolingo marka ekosistemine giriş kapısı</w:t>
            </w:r>
          </w:p>
        </w:tc>
      </w:tr>
      <w:tr>
        <w:tc>
          <w:tcPr>
            <w:tcW w:type="dxa" w:w="1500"/>
            <w:tcMar>
              <w:top w:type="dxa" w:w="100"/>
              <w:left w:type="dxa" w:w="120"/>
              <w:bottom w:type="dxa" w:w="100"/>
              <w:right w:type="dxa" w:w="120"/>
            </w:tcMar>
            <w:vAlign w:val="center"/>
          </w:tcPr>
          <w:p>
            <w:r>
              <w:rPr>
                <w:b w:val="false"/>
                <w:bCs w:val="false"/>
                <w:color w:val="000000"/>
                <w:sz w:val="19"/>
                <w:szCs w:val="19"/>
              </w:rPr>
              <w:t xml:space="preserve">Toca Boca / Sago Mini</w:t>
            </w:r>
          </w:p>
        </w:tc>
        <w:tc>
          <w:tcPr>
            <w:tcW w:type="dxa" w:w="700"/>
            <w:tcMar>
              <w:top w:type="dxa" w:w="100"/>
              <w:left w:type="dxa" w:w="120"/>
              <w:bottom w:type="dxa" w:w="100"/>
              <w:right w:type="dxa" w:w="120"/>
            </w:tcMar>
            <w:vAlign w:val="center"/>
          </w:tcPr>
          <w:p>
            <w:r>
              <w:rPr>
                <w:b w:val="false"/>
                <w:bCs w:val="false"/>
                <w:color w:val="000000"/>
                <w:sz w:val="19"/>
                <w:szCs w:val="19"/>
              </w:rPr>
              <w:t xml:space="preserve">2-9</w:t>
            </w:r>
          </w:p>
        </w:tc>
        <w:tc>
          <w:tcPr>
            <w:tcW w:type="dxa" w:w="1700"/>
            <w:tcMar>
              <w:top w:type="dxa" w:w="100"/>
              <w:left w:type="dxa" w:w="120"/>
              <w:bottom w:type="dxa" w:w="100"/>
              <w:right w:type="dxa" w:w="120"/>
            </w:tcMar>
            <w:vAlign w:val="center"/>
          </w:tcPr>
          <w:p>
            <w:r>
              <w:rPr>
                <w:b w:val="false"/>
                <w:bCs w:val="false"/>
                <w:color w:val="000000"/>
                <w:sz w:val="19"/>
                <w:szCs w:val="19"/>
              </w:rPr>
              <w:t xml:space="preserve">Abonelik (Piknik paketi)</w:t>
            </w:r>
          </w:p>
        </w:tc>
        <w:tc>
          <w:tcPr>
            <w:tcW w:type="dxa" w:w="1700"/>
            <w:tcMar>
              <w:top w:type="dxa" w:w="100"/>
              <w:left w:type="dxa" w:w="120"/>
              <w:bottom w:type="dxa" w:w="100"/>
              <w:right w:type="dxa" w:w="120"/>
            </w:tcMar>
            <w:vAlign w:val="center"/>
          </w:tcPr>
          <w:p>
            <w:r>
              <w:rPr>
                <w:b w:val="false"/>
                <w:bCs w:val="false"/>
                <w:color w:val="000000"/>
                <w:sz w:val="19"/>
                <w:szCs w:val="19"/>
              </w:rPr>
              <w:t xml:space="preserve">Aylık çoklu-uygulama paket aboneliği</w:t>
            </w:r>
          </w:p>
        </w:tc>
        <w:tc>
          <w:tcPr>
            <w:tcW w:type="dxa" w:w="3426"/>
            <w:tcMar>
              <w:top w:type="dxa" w:w="100"/>
              <w:left w:type="dxa" w:w="120"/>
              <w:bottom w:type="dxa" w:w="100"/>
              <w:right w:type="dxa" w:w="120"/>
            </w:tcMar>
            <w:vAlign w:val="center"/>
          </w:tcPr>
          <w:p>
            <w:r>
              <w:rPr>
                <w:b w:val="false"/>
                <w:bCs w:val="false"/>
                <w:color w:val="000000"/>
                <w:sz w:val="19"/>
                <w:szCs w:val="19"/>
              </w:rPr>
              <w:t xml:space="preserve">Reklamsız “dijital oyuncak” felsefesi; Spin Master’a ait</w:t>
            </w:r>
          </w:p>
        </w:tc>
      </w:tr>
      <w:tr>
        <w:tc>
          <w:tcPr>
            <w:tcW w:type="dxa" w:w="1500"/>
            <w:tcMar>
              <w:top w:type="dxa" w:w="100"/>
              <w:left w:type="dxa" w:w="120"/>
              <w:bottom w:type="dxa" w:w="100"/>
              <w:right w:type="dxa" w:w="120"/>
            </w:tcMar>
            <w:vAlign w:val="center"/>
          </w:tcPr>
          <w:p>
            <w:r>
              <w:rPr>
                <w:b w:val="false"/>
                <w:bCs w:val="false"/>
                <w:color w:val="000000"/>
                <w:sz w:val="19"/>
                <w:szCs w:val="19"/>
              </w:rPr>
              <w:t xml:space="preserve">PBS Kids</w:t>
            </w:r>
          </w:p>
        </w:tc>
        <w:tc>
          <w:tcPr>
            <w:tcW w:type="dxa" w:w="700"/>
            <w:tcMar>
              <w:top w:type="dxa" w:w="100"/>
              <w:left w:type="dxa" w:w="120"/>
              <w:bottom w:type="dxa" w:w="100"/>
              <w:right w:type="dxa" w:w="120"/>
            </w:tcMar>
            <w:vAlign w:val="center"/>
          </w:tcPr>
          <w:p>
            <w:r>
              <w:rPr>
                <w:b w:val="false"/>
                <w:bCs w:val="false"/>
                <w:color w:val="000000"/>
                <w:sz w:val="19"/>
                <w:szCs w:val="19"/>
              </w:rPr>
              <w:t xml:space="preserve">2-8</w:t>
            </w:r>
          </w:p>
        </w:tc>
        <w:tc>
          <w:tcPr>
            <w:tcW w:type="dxa" w:w="1700"/>
            <w:tcMar>
              <w:top w:type="dxa" w:w="100"/>
              <w:left w:type="dxa" w:w="120"/>
              <w:bottom w:type="dxa" w:w="100"/>
              <w:right w:type="dxa" w:w="120"/>
            </w:tcMar>
            <w:vAlign w:val="center"/>
          </w:tcPr>
          <w:p>
            <w:r>
              <w:rPr>
                <w:b w:val="false"/>
                <w:bCs w:val="false"/>
                <w:color w:val="000000"/>
                <w:sz w:val="19"/>
                <w:szCs w:val="19"/>
              </w:rPr>
              <w:t xml:space="preserve">Ücretsiz (kamu yayıncılık fonu)</w:t>
            </w:r>
          </w:p>
        </w:tc>
        <w:tc>
          <w:tcPr>
            <w:tcW w:type="dxa" w:w="1700"/>
            <w:tcMar>
              <w:top w:type="dxa" w:w="100"/>
              <w:left w:type="dxa" w:w="120"/>
              <w:bottom w:type="dxa" w:w="100"/>
              <w:right w:type="dxa" w:w="120"/>
            </w:tcMar>
            <w:vAlign w:val="center"/>
          </w:tcPr>
          <w:p>
            <w:r>
              <w:rPr>
                <w:b w:val="false"/>
                <w:bCs w:val="false"/>
                <w:color w:val="000000"/>
                <w:sz w:val="19"/>
                <w:szCs w:val="19"/>
              </w:rPr>
              <w:t xml:space="preserve">Ücretsiz</w:t>
            </w:r>
          </w:p>
        </w:tc>
        <w:tc>
          <w:tcPr>
            <w:tcW w:type="dxa" w:w="3426"/>
            <w:tcMar>
              <w:top w:type="dxa" w:w="100"/>
              <w:left w:type="dxa" w:w="120"/>
              <w:bottom w:type="dxa" w:w="100"/>
              <w:right w:type="dxa" w:w="120"/>
            </w:tcMar>
            <w:vAlign w:val="center"/>
          </w:tcPr>
          <w:p>
            <w:r>
              <w:rPr>
                <w:b w:val="false"/>
                <w:bCs w:val="false"/>
                <w:color w:val="000000"/>
                <w:sz w:val="19"/>
                <w:szCs w:val="19"/>
              </w:rPr>
              <w:t xml:space="preserve">25’ten fazla oyun, tanıdık TV karakterleri</w:t>
            </w:r>
          </w:p>
        </w:tc>
      </w:tr>
      <w:tr>
        <w:tc>
          <w:tcPr>
            <w:tcW w:type="dxa" w:w="1500"/>
            <w:tcMar>
              <w:top w:type="dxa" w:w="100"/>
              <w:left w:type="dxa" w:w="120"/>
              <w:bottom w:type="dxa" w:w="100"/>
              <w:right w:type="dxa" w:w="120"/>
            </w:tcMar>
            <w:vAlign w:val="center"/>
          </w:tcPr>
          <w:p>
            <w:r>
              <w:rPr>
                <w:b w:val="false"/>
                <w:bCs w:val="false"/>
                <w:color w:val="000000"/>
                <w:sz w:val="19"/>
                <w:szCs w:val="19"/>
              </w:rPr>
              <w:t xml:space="preserve">Prodigy Math</w:t>
            </w:r>
          </w:p>
        </w:tc>
        <w:tc>
          <w:tcPr>
            <w:tcW w:type="dxa" w:w="700"/>
            <w:tcMar>
              <w:top w:type="dxa" w:w="100"/>
              <w:left w:type="dxa" w:w="120"/>
              <w:bottom w:type="dxa" w:w="100"/>
              <w:right w:type="dxa" w:w="120"/>
            </w:tcMar>
            <w:vAlign w:val="center"/>
          </w:tcPr>
          <w:p>
            <w:r>
              <w:rPr>
                <w:b w:val="false"/>
                <w:bCs w:val="false"/>
                <w:color w:val="000000"/>
                <w:sz w:val="19"/>
                <w:szCs w:val="19"/>
              </w:rPr>
              <w:t xml:space="preserve">6-14</w:t>
            </w:r>
          </w:p>
        </w:tc>
        <w:tc>
          <w:tcPr>
            <w:tcW w:type="dxa" w:w="1700"/>
            <w:tcMar>
              <w:top w:type="dxa" w:w="100"/>
              <w:left w:type="dxa" w:w="120"/>
              <w:bottom w:type="dxa" w:w="100"/>
              <w:right w:type="dxa" w:w="120"/>
            </w:tcMar>
            <w:vAlign w:val="center"/>
          </w:tcPr>
          <w:p>
            <w:r>
              <w:rPr>
                <w:b w:val="false"/>
                <w:bCs w:val="false"/>
                <w:color w:val="000000"/>
                <w:sz w:val="19"/>
                <w:szCs w:val="19"/>
              </w:rPr>
              <w:t xml:space="preserve">Freemium</w:t>
            </w:r>
          </w:p>
        </w:tc>
        <w:tc>
          <w:tcPr>
            <w:tcW w:type="dxa" w:w="1700"/>
            <w:tcMar>
              <w:top w:type="dxa" w:w="100"/>
              <w:left w:type="dxa" w:w="120"/>
              <w:bottom w:type="dxa" w:w="100"/>
              <w:right w:type="dxa" w:w="120"/>
            </w:tcMar>
            <w:vAlign w:val="center"/>
          </w:tcPr>
          <w:p>
            <w:r>
              <w:rPr>
                <w:b w:val="false"/>
                <w:bCs w:val="false"/>
                <w:color w:val="000000"/>
                <w:sz w:val="19"/>
                <w:szCs w:val="19"/>
              </w:rPr>
              <w:t xml:space="preserve">~9,95 $/ay premium</w:t>
            </w:r>
          </w:p>
        </w:tc>
        <w:tc>
          <w:tcPr>
            <w:tcW w:type="dxa" w:w="3426"/>
            <w:tcMar>
              <w:top w:type="dxa" w:w="100"/>
              <w:left w:type="dxa" w:w="120"/>
              <w:bottom w:type="dxa" w:w="100"/>
              <w:right w:type="dxa" w:w="120"/>
            </w:tcMar>
            <w:vAlign w:val="center"/>
          </w:tcPr>
          <w:p>
            <w:r>
              <w:rPr>
                <w:b w:val="false"/>
                <w:bCs w:val="false"/>
                <w:color w:val="000000"/>
                <w:sz w:val="19"/>
                <w:szCs w:val="19"/>
              </w:rPr>
              <w:t xml:space="preserve">Fantezi RPG kurgusu + müfredat uyumlu matematik</w:t>
            </w:r>
          </w:p>
        </w:tc>
      </w:tr>
      <w:tr>
        <w:tc>
          <w:tcPr>
            <w:tcW w:type="dxa" w:w="1500"/>
            <w:tcMar>
              <w:top w:type="dxa" w:w="100"/>
              <w:left w:type="dxa" w:w="120"/>
              <w:bottom w:type="dxa" w:w="100"/>
              <w:right w:type="dxa" w:w="120"/>
            </w:tcMar>
            <w:vAlign w:val="center"/>
          </w:tcPr>
          <w:p>
            <w:r>
              <w:rPr>
                <w:b w:val="false"/>
                <w:bCs w:val="false"/>
                <w:color w:val="000000"/>
                <w:sz w:val="19"/>
                <w:szCs w:val="19"/>
              </w:rPr>
              <w:t xml:space="preserve">MentalUP (TR)</w:t>
            </w:r>
          </w:p>
        </w:tc>
        <w:tc>
          <w:tcPr>
            <w:tcW w:type="dxa" w:w="700"/>
            <w:tcMar>
              <w:top w:type="dxa" w:w="100"/>
              <w:left w:type="dxa" w:w="120"/>
              <w:bottom w:type="dxa" w:w="100"/>
              <w:right w:type="dxa" w:w="120"/>
            </w:tcMar>
            <w:vAlign w:val="center"/>
          </w:tcPr>
          <w:p>
            <w:r>
              <w:rPr>
                <w:b w:val="false"/>
                <w:bCs w:val="false"/>
                <w:color w:val="000000"/>
                <w:sz w:val="19"/>
                <w:szCs w:val="19"/>
              </w:rPr>
              <w:t xml:space="preserve">6-15</w:t>
            </w:r>
          </w:p>
        </w:tc>
        <w:tc>
          <w:tcPr>
            <w:tcW w:type="dxa" w:w="1700"/>
            <w:tcMar>
              <w:top w:type="dxa" w:w="100"/>
              <w:left w:type="dxa" w:w="120"/>
              <w:bottom w:type="dxa" w:w="100"/>
              <w:right w:type="dxa" w:w="120"/>
            </w:tcMar>
            <w:vAlign w:val="center"/>
          </w:tcPr>
          <w:p>
            <w:r>
              <w:rPr>
                <w:b w:val="false"/>
                <w:bCs w:val="false"/>
                <w:color w:val="000000"/>
                <w:sz w:val="19"/>
                <w:szCs w:val="19"/>
              </w:rPr>
              <w:t xml:space="preserve">Abonelik + kurumsal lisans</w:t>
            </w:r>
          </w:p>
        </w:tc>
        <w:tc>
          <w:tcPr>
            <w:tcW w:type="dxa" w:w="1700"/>
            <w:tcMar>
              <w:top w:type="dxa" w:w="100"/>
              <w:left w:type="dxa" w:w="120"/>
              <w:bottom w:type="dxa" w:w="100"/>
              <w:right w:type="dxa" w:w="120"/>
            </w:tcMar>
            <w:vAlign w:val="center"/>
          </w:tcPr>
          <w:p>
            <w:r>
              <w:rPr>
                <w:b w:val="false"/>
                <w:bCs w:val="false"/>
                <w:color w:val="000000"/>
                <w:sz w:val="19"/>
                <w:szCs w:val="19"/>
              </w:rPr>
              <w:t xml:space="preserve">~10-15 $/ay veya ~36 $/yıl</w:t>
            </w:r>
          </w:p>
        </w:tc>
        <w:tc>
          <w:tcPr>
            <w:tcW w:type="dxa" w:w="3426"/>
            <w:tcMar>
              <w:top w:type="dxa" w:w="100"/>
              <w:left w:type="dxa" w:w="120"/>
              <w:bottom w:type="dxa" w:w="100"/>
              <w:right w:type="dxa" w:w="120"/>
            </w:tcMar>
            <w:vAlign w:val="center"/>
          </w:tcPr>
          <w:p>
            <w:r>
              <w:rPr>
                <w:b w:val="false"/>
                <w:bCs w:val="false"/>
                <w:color w:val="000000"/>
                <w:sz w:val="19"/>
                <w:szCs w:val="19"/>
              </w:rPr>
              <w:t xml:space="preserve">15 milyon+ aile, 25+ ülke, okul/kurum lisanslama geliri</w:t>
            </w:r>
          </w:p>
        </w:tc>
      </w:tr>
      <w:tr>
        <w:tc>
          <w:tcPr>
            <w:tcW w:type="dxa" w:w="1500"/>
            <w:tcMar>
              <w:top w:type="dxa" w:w="100"/>
              <w:left w:type="dxa" w:w="120"/>
              <w:bottom w:type="dxa" w:w="100"/>
              <w:right w:type="dxa" w:w="120"/>
            </w:tcMar>
            <w:vAlign w:val="center"/>
          </w:tcPr>
          <w:p>
            <w:r>
              <w:rPr>
                <w:b w:val="false"/>
                <w:bCs w:val="false"/>
                <w:color w:val="000000"/>
                <w:sz w:val="19"/>
                <w:szCs w:val="19"/>
              </w:rPr>
              <w:t xml:space="preserve">Edudi (TR)</w:t>
            </w:r>
          </w:p>
        </w:tc>
        <w:tc>
          <w:tcPr>
            <w:tcW w:type="dxa" w:w="700"/>
            <w:tcMar>
              <w:top w:type="dxa" w:w="100"/>
              <w:left w:type="dxa" w:w="120"/>
              <w:bottom w:type="dxa" w:w="100"/>
              <w:right w:type="dxa" w:w="120"/>
            </w:tcMar>
            <w:vAlign w:val="center"/>
          </w:tcPr>
          <w:p>
            <w:r>
              <w:rPr>
                <w:b w:val="false"/>
                <w:bCs w:val="false"/>
                <w:color w:val="000000"/>
                <w:sz w:val="19"/>
                <w:szCs w:val="19"/>
              </w:rPr>
              <w:t xml:space="preserve">3-8</w:t>
            </w:r>
          </w:p>
        </w:tc>
        <w:tc>
          <w:tcPr>
            <w:tcW w:type="dxa" w:w="1700"/>
            <w:tcMar>
              <w:top w:type="dxa" w:w="100"/>
              <w:left w:type="dxa" w:w="120"/>
              <w:bottom w:type="dxa" w:w="100"/>
              <w:right w:type="dxa" w:w="120"/>
            </w:tcMar>
            <w:vAlign w:val="center"/>
          </w:tcPr>
          <w:p>
            <w:r>
              <w:rPr>
                <w:b w:val="false"/>
                <w:bCs w:val="false"/>
                <w:color w:val="000000"/>
                <w:sz w:val="19"/>
                <w:szCs w:val="19"/>
              </w:rPr>
              <w:t xml:space="preserve">Freemium, portföy/ölçek stratejisi</w:t>
            </w:r>
          </w:p>
        </w:tc>
        <w:tc>
          <w:tcPr>
            <w:tcW w:type="dxa" w:w="1700"/>
            <w:tcMar>
              <w:top w:type="dxa" w:w="100"/>
              <w:left w:type="dxa" w:w="120"/>
              <w:bottom w:type="dxa" w:w="100"/>
              <w:right w:type="dxa" w:w="120"/>
            </w:tcMar>
            <w:vAlign w:val="center"/>
          </w:tcPr>
          <w:p>
            <w:r>
              <w:rPr>
                <w:b w:val="false"/>
                <w:bCs w:val="false"/>
                <w:color w:val="000000"/>
                <w:sz w:val="19"/>
                <w:szCs w:val="19"/>
              </w:rPr>
              <w:t xml:space="preserve">Freemium</w:t>
            </w:r>
          </w:p>
        </w:tc>
        <w:tc>
          <w:tcPr>
            <w:tcW w:type="dxa" w:w="3426"/>
            <w:tcMar>
              <w:top w:type="dxa" w:w="100"/>
              <w:left w:type="dxa" w:w="120"/>
              <w:bottom w:type="dxa" w:w="100"/>
              <w:right w:type="dxa" w:w="120"/>
            </w:tcMar>
            <w:vAlign w:val="center"/>
          </w:tcPr>
          <w:p>
            <w:r>
              <w:rPr>
                <w:b w:val="false"/>
                <w:bCs w:val="false"/>
                <w:color w:val="000000"/>
                <w:sz w:val="19"/>
                <w:szCs w:val="19"/>
              </w:rPr>
              <w:t xml:space="preserve">Okul öncesi öğretmenlerince tasarlanan 150+ mini oyun; 30+ uygulamalık portföy</w:t>
            </w:r>
          </w:p>
        </w:tc>
      </w:tr>
    </w:tbl>
    <w:p>
      <w:pPr>
        <w:spacing w:after="200" w:line="276"/>
        <w:jc w:val="both"/>
      </w:pPr>
      <w:r>
        <w:rPr>
          <w:sz w:val="22"/>
          <w:szCs w:val="22"/>
        </w:rPr>
        <w:t xml:space="preserve">Tablodan çıkan örüntü şu: Ücretsiz/bağışçı-finanslı modelde marka güveni çok yüksek olsa da (Khan Academy Kids), bu model bağış ve kurumsal sponsorluk akışına bağımlı ve çoğu girişim için tekrarlanabilir değil. Buna karşılık abonelik-artı-B2B2C hibriti (okullara/kurumlara lisans satışı) en sürdürülebilir görünüyor: hem tüketici hem kurumsal geliri harmanlıyor ve tek bir mağaza algoritmasına bağımlılığı azaltıyor. Edudi’nin çoklu-uygulama portföy stratejisi ise düşük geliştirme maliyetiyle çok sayıda niş anahtar kelimede görünürlük yakalama mantığına dayanıyor; bu yaklaşım ölçek gerektirir ve tek başına derin/yüksek kaliteli içerik vaadiyle gerilebilir.</w:t>
      </w:r>
    </w:p>
    <w:p>
      <w:pPr>
        <w:pStyle w:val="Heading1"/>
        <w:spacing w:after="160" w:before="360"/>
      </w:pPr>
      <w:r>
        <w:t xml:space="preserve">3. İçerik Nasıl Üretiliyor ve Yönetiliyor</w:t>
      </w:r>
    </w:p>
    <w:p>
      <w:pPr>
        <w:pStyle w:val="Heading2"/>
        <w:spacing w:after="120" w:before="240"/>
      </w:pPr>
      <w:r>
        <w:t xml:space="preserve">3.1 Müfredat ve İçerik Tasarımı</w:t>
      </w:r>
    </w:p>
    <w:p>
      <w:pPr>
        <w:spacing w:after="200" w:line="276"/>
        <w:jc w:val="both"/>
      </w:pPr>
      <w:r>
        <w:rPr>
          <w:sz w:val="22"/>
          <w:szCs w:val="22"/>
        </w:rPr>
        <w:t xml:space="preserve">Ciddi oyuncuların ortak noktası, içeriği yalnızca tasarımcıların değil çocuk gelişimi uzmanlarının, eğitimcilerin ve öğrenme bilimcilerin birlikte üretmesi. Khan Academy Kids müfredatını Stanford araştırmacılarıyla birlikte geliştirdi; MentalUP ve Edudi ekiplerinde okul öncesi öğretmenleri ve pedagoglar yer alıyor. Akademik literatür (Hirsh-Pasek ve arkadaşlarının “Putting Education in Educational Apps” çalışması) gerçekten eğitici bir uygulamanın dört ilkeyi taşıması gerektiğini söylüyor: aktif katılım, dikkatin dağılmadığı bir etkileşim, çocuk için anlamlı bağlam ve sosyal etkileşim içeren tasarım. İçerik tipik olarak yaşa göre bantlanır (ör. Apple’ın 5 yaş ve altı / 6-8 / 9-11 bantları) ve artan zorlukta ilerleyen seviyeler hâlinde kurgulanır — ABCmouse’un 850’den fazla dersi 10 seviyeye yayılmış durumda.</w:t>
      </w:r>
    </w:p>
    <w:p>
      <w:pPr>
        <w:pStyle w:val="Heading2"/>
        <w:spacing w:after="120" w:before="240"/>
      </w:pPr>
      <w:r>
        <w:t xml:space="preserve">3.2 Editöryal Denetim ve Moderasyon</w:t>
      </w:r>
    </w:p>
    <w:p>
      <w:pPr>
        <w:spacing w:after="200" w:line="276"/>
        <w:jc w:val="both"/>
      </w:pPr>
      <w:r>
        <w:rPr>
          <w:sz w:val="22"/>
          <w:szCs w:val="22"/>
        </w:rPr>
        <w:t xml:space="preserve">Video, ses veya kullanıcı tarafından oluşturulan içerik barındıran uygulamalarda moderasyon maliyeti yüksektir: video incelemesi çoğunlukla kare kare yapılır ve içeriğin uzunluğuna göre dakikalar ile saatler arasında sürebilir. Sektör standardı, yapay zekâ tabanlı otomatik sınıflandırmayla (uygunsuz içeriği önceliklendirip inceleme kuyruğuna sokan) insan denetimini birleştirmektir. Reklam içeren uygulamalarda da aynı mantık geçerli: Apple, Kids kategorisinde gösterilecek her reklamın çocuklara uygunluğu açısından insan tarafından incelenmesini şart koşuyor.</w:t>
      </w:r>
    </w:p>
    <w:p>
      <w:pPr>
        <w:pStyle w:val="Heading2"/>
        <w:spacing w:after="120" w:before="240"/>
      </w:pPr>
      <w:r>
        <w:t xml:space="preserve">3.3 Platform Kuralları: Apple “Kids” Kategorisi</w:t>
      </w:r>
    </w:p>
    <w:p>
      <w:pPr>
        <w:spacing w:after="200" w:line="276"/>
        <w:jc w:val="both"/>
      </w:pPr>
      <w:r>
        <w:rPr>
          <w:sz w:val="22"/>
          <w:szCs w:val="22"/>
        </w:rPr>
        <w:t xml:space="preserve">11 yaş ve altı çocuklara yönelik uygulamalar App Store Connect’te “Made for Kids” kutucuğunu işaretlemeli ve üç yaş bandından birini (5 ve altı, 6-8, 9-11) seçmelidir. Bu uygulamalar uygulama dışına yönlendiren bağlantılar, satın alma teşvikleri veya dikkat dağıtıcı unsurlar içeremez; böyle bir işlev gerekiyorsa ebeveyn onay ekranının (parental gate) arkasına gizlenmelidir. Üçüncü taraflara kişisel veri veya cihaz bilgisi aktarımı yasaktır, gösterilecek reklamlar yaşa uygunluk açısından insan tarafından incelenmiş olmalıdır. Uygulama Kids kategorisinden çıksa bile Apple, sonraki güncellemelerde de aynı standartların korunmasını talep ediyor.</w:t>
      </w:r>
    </w:p>
    <w:p>
      <w:pPr>
        <w:pStyle w:val="Heading2"/>
        <w:spacing w:after="120" w:before="240"/>
      </w:pPr>
      <w:r>
        <w:t xml:space="preserve">3.4 Platform Kuralları: Google Play Aileler Politikası</w:t>
      </w:r>
    </w:p>
    <w:p>
      <w:pPr>
        <w:spacing w:after="200" w:line="276"/>
        <w:jc w:val="both"/>
      </w:pPr>
      <w:r>
        <w:rPr>
          <w:sz w:val="22"/>
          <w:szCs w:val="22"/>
        </w:rPr>
        <w:t xml:space="preserve">Google Play’in Aileler (Families) politikasına tabi uygulamalar yalnızca sertifikalı reklam SDK’ları kullanabilir, kişiselleştirilmiş reklam gösteremez, hassas konum verisine erişemez ve cihaz kimliklerini çocuklardan iletemez. Geliştiriciler Play Console’da hedef kitleyi ve yaş gruplarını yayından önce beyan etmek zorundadır. Aileler politikasına uyan uygulamalar isteğe bağlı olarak “Teacher Approved” programına başvurabilir; bu program uygulamaları öğretmenler ve çocuk gelişimi uzmanlarından oluşan bir jüriyle yaş uygunluğu, deneyim kalitesi, zenginleştirme değeri ve güvenlik/veri kriterlerine göre ayrıca değerlendirir — temel politika uyumluluğundan daha yüksek bir bar.</w:t>
      </w:r>
    </w:p>
    <w:p>
      <w:pPr>
        <w:pStyle w:val="Heading2"/>
        <w:spacing w:after="120" w:before="240"/>
      </w:pPr>
      <w:r>
        <w:t xml:space="preserve">3.5 Yasal Çerçeve: COPPA ve Uluslararası Dengi</w:t>
      </w:r>
    </w:p>
    <w:p>
      <w:pPr>
        <w:spacing w:after="200" w:line="276"/>
        <w:jc w:val="both"/>
      </w:pPr>
      <w:r>
        <w:rPr>
          <w:sz w:val="22"/>
          <w:szCs w:val="22"/>
        </w:rPr>
        <w:t xml:space="preserve">ABD’de çocuk gizliliğini düzenleyen COPPA kuralı 22 Nisan 2025’te güncellendi, yürürlüğü 23 Haziran 2025’te başladı ve uyum son tarihi 22 Nisan 2026 olarak belirlendi — yani bugün itibarıyla tüm kurallar zorunlu hâlde. Güncelleme; biyometrik tanımlayıcıları (ses izi, yüz şablonu, parmak izi) kişisel veri kapsamına aldı, çocuk verisinin reklam amacıyla veya yapay zekâ modeli eğitimi için paylaşılmasına ayrı ve açık ebeveyn onayı şartı getirdi, ebeveyn onayını doğrulamak için sekiz kabul edilebilir yöntem tanımladı ve reklam iznini temel onayla birlikte paketlemeyi yasakladı. İhlal başına ceza 2025’te 53.088 $’a kadar çıkabiliyor; büyük vakalarda (Disney örneğinde olduğu gibi) 10 milyon $’ı aşan uzlaşmalar görüldü. AB pazarına girmeyi düşünen ekipler için GDPR’ın çocuklara özel yorumu olan GDPR-K de benzer onay ve veri minimizasyonu ilkelerini getiriyor.</w:t>
      </w:r>
    </w:p>
    <w:p>
      <w:pPr>
        <w:pStyle w:val="Heading1"/>
        <w:spacing w:after="160" w:before="360"/>
      </w:pPr>
      <w:r>
        <w:t xml:space="preserve">4. Para Kazanma (Monetizasyon) Modelleri</w:t>
      </w:r>
    </w:p>
    <w:p>
      <w:pPr>
        <w:pStyle w:val="Heading2"/>
        <w:spacing w:after="120" w:before="240"/>
      </w:pPr>
      <w:r>
        <w:t xml:space="preserve">4.1 Ücretsiz / Hayırsever Finansman</w:t>
      </w:r>
    </w:p>
    <w:p>
      <w:pPr>
        <w:spacing w:after="200" w:line="276"/>
        <w:jc w:val="both"/>
      </w:pPr>
      <w:r>
        <w:rPr>
          <w:sz w:val="22"/>
          <w:szCs w:val="22"/>
        </w:rPr>
        <w:t xml:space="preserve">Khan Academy Kids modelinde gelir kullanıcıdan değil bağışçılardan, vakıflardan ve kurumsal sponsorlardan gelir; ürün tamamen ücretsiz ve reklamsızdır. Bu model muazzam bir marka güveni ve organik büyüme sağlar ama bağımsız bir girişimin tekrarlaması zordur — sürdürülebilirliği bağış akışının istikrarına bağlıdır.</w:t>
      </w:r>
    </w:p>
    <w:p>
      <w:pPr>
        <w:pStyle w:val="Heading2"/>
        <w:spacing w:after="120" w:before="240"/>
      </w:pPr>
      <w:r>
        <w:t xml:space="preserve">4.2 Freemium + Abonelik (Baskın Model)</w:t>
      </w:r>
    </w:p>
    <w:p>
      <w:pPr>
        <w:spacing w:after="200" w:line="276"/>
        <w:jc w:val="both"/>
      </w:pPr>
      <w:r>
        <w:rPr>
          <w:sz w:val="22"/>
          <w:szCs w:val="22"/>
        </w:rPr>
        <w:t xml:space="preserve">Piyasadaki en yaygın model freemium-artı-abonelik. 2025-2026 kıyaslamalarına göre eğitim kategorisinde medyan fiyatlar haftalık ~7,48 $, aylık ~12,99 $, yıllık ~38,42 $ civarında; eğitim kategorisi ~44,99 $’lık yıllık medyanla oyun kategorisinin (~20,55 $) iki katından fazla fiyatlanıyor — ebeveynler çocuklarının “eğitimi” için oyuna göre belirgin şekilde daha fazla ödemeye razı. Gelir dağılımına bakıldığında haftalık planlar toplam gelirin %52’sini oluşturuyor (kısa vadeli deneme eğilimini yansıtıyor), yıllık planlar %22’sini, aylık planlar %9’unu ve tek seferlik satın almalar büyüyen bir eğilimle %17’sini oluşturuyor. Yıllık planlar aylığa kıyasla ortalama %67 indirimli sunuluyor.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rPr>
          <w:tblHeader/>
        </w:trPr>
        <w:tc>
          <w:tcPr>
            <w:tcW w:type="dxa" w:w="2200"/>
            <w:shd w:fill="2F5496" w:color="auto" w:val="clear"/>
            <w:tcMar>
              <w:top w:type="dxa" w:w="100"/>
              <w:left w:type="dxa" w:w="120"/>
              <w:bottom w:type="dxa" w:w="100"/>
              <w:right w:type="dxa" w:w="120"/>
            </w:tcMar>
            <w:vAlign w:val="center"/>
          </w:tcPr>
          <w:p>
            <w:r>
              <w:rPr>
                <w:b/>
                <w:bCs/>
                <w:color w:val="FFFFFF"/>
                <w:sz w:val="19"/>
                <w:szCs w:val="19"/>
              </w:rPr>
              <w:t xml:space="preserve">Dönem</w:t>
            </w:r>
          </w:p>
        </w:tc>
        <w:tc>
          <w:tcPr>
            <w:tcW w:type="dxa" w:w="2200"/>
            <w:shd w:fill="2F5496" w:color="auto" w:val="clear"/>
            <w:tcMar>
              <w:top w:type="dxa" w:w="100"/>
              <w:left w:type="dxa" w:w="120"/>
              <w:bottom w:type="dxa" w:w="100"/>
              <w:right w:type="dxa" w:w="120"/>
            </w:tcMar>
            <w:vAlign w:val="center"/>
          </w:tcPr>
          <w:p>
            <w:r>
              <w:rPr>
                <w:b/>
                <w:bCs/>
                <w:color w:val="FFFFFF"/>
                <w:sz w:val="19"/>
                <w:szCs w:val="19"/>
              </w:rPr>
              <w:t xml:space="preserve">Medyan Fiyat</w:t>
            </w:r>
          </w:p>
        </w:tc>
        <w:tc>
          <w:tcPr>
            <w:tcW w:type="dxa" w:w="4626"/>
            <w:shd w:fill="2F5496" w:color="auto" w:val="clear"/>
            <w:tcMar>
              <w:top w:type="dxa" w:w="100"/>
              <w:left w:type="dxa" w:w="120"/>
              <w:bottom w:type="dxa" w:w="100"/>
              <w:right w:type="dxa" w:w="120"/>
            </w:tcMar>
            <w:vAlign w:val="center"/>
          </w:tcPr>
          <w:p>
            <w:r>
              <w:rPr>
                <w:b/>
                <w:bCs/>
                <w:color w:val="FFFFFF"/>
                <w:sz w:val="19"/>
                <w:szCs w:val="19"/>
              </w:rPr>
              <w:t xml:space="preserve">Not</w:t>
            </w:r>
          </w:p>
        </w:tc>
      </w:tr>
      <w:tr>
        <w:tc>
          <w:tcPr>
            <w:tcW w:type="dxa" w:w="2200"/>
            <w:tcMar>
              <w:top w:type="dxa" w:w="100"/>
              <w:left w:type="dxa" w:w="120"/>
              <w:bottom w:type="dxa" w:w="100"/>
              <w:right w:type="dxa" w:w="120"/>
            </w:tcMar>
            <w:vAlign w:val="center"/>
          </w:tcPr>
          <w:p>
            <w:r>
              <w:rPr>
                <w:b w:val="false"/>
                <w:bCs w:val="false"/>
                <w:color w:val="000000"/>
                <w:sz w:val="19"/>
                <w:szCs w:val="19"/>
              </w:rPr>
              <w:t xml:space="preserve">Haftalık plan</w:t>
            </w:r>
          </w:p>
        </w:tc>
        <w:tc>
          <w:tcPr>
            <w:tcW w:type="dxa" w:w="2200"/>
            <w:tcMar>
              <w:top w:type="dxa" w:w="100"/>
              <w:left w:type="dxa" w:w="120"/>
              <w:bottom w:type="dxa" w:w="100"/>
              <w:right w:type="dxa" w:w="120"/>
            </w:tcMar>
            <w:vAlign w:val="center"/>
          </w:tcPr>
          <w:p>
            <w:r>
              <w:rPr>
                <w:b w:val="false"/>
                <w:bCs w:val="false"/>
                <w:color w:val="000000"/>
                <w:sz w:val="19"/>
                <w:szCs w:val="19"/>
              </w:rPr>
              <w:t xml:space="preserve">~7,48 $</w:t>
            </w:r>
          </w:p>
        </w:tc>
        <w:tc>
          <w:tcPr>
            <w:tcW w:type="dxa" w:w="4626"/>
            <w:tcMar>
              <w:top w:type="dxa" w:w="100"/>
              <w:left w:type="dxa" w:w="120"/>
              <w:bottom w:type="dxa" w:w="100"/>
              <w:right w:type="dxa" w:w="120"/>
            </w:tcMar>
            <w:vAlign w:val="center"/>
          </w:tcPr>
          <w:p>
            <w:r>
              <w:rPr>
                <w:b w:val="false"/>
                <w:bCs w:val="false"/>
                <w:color w:val="000000"/>
                <w:sz w:val="19"/>
                <w:szCs w:val="19"/>
              </w:rPr>
              <w:t xml:space="preserve">Toplam eğitim kategorisi gelirinin %52’si; kısa vadeli deneme eğilimini yansıtıyor</w:t>
            </w:r>
          </w:p>
        </w:tc>
      </w:tr>
      <w:tr>
        <w:tc>
          <w:tcPr>
            <w:tcW w:type="dxa" w:w="2200"/>
            <w:tcMar>
              <w:top w:type="dxa" w:w="100"/>
              <w:left w:type="dxa" w:w="120"/>
              <w:bottom w:type="dxa" w:w="100"/>
              <w:right w:type="dxa" w:w="120"/>
            </w:tcMar>
            <w:vAlign w:val="center"/>
          </w:tcPr>
          <w:p>
            <w:r>
              <w:rPr>
                <w:b w:val="false"/>
                <w:bCs w:val="false"/>
                <w:color w:val="000000"/>
                <w:sz w:val="19"/>
                <w:szCs w:val="19"/>
              </w:rPr>
              <w:t xml:space="preserve">Aylık plan</w:t>
            </w:r>
          </w:p>
        </w:tc>
        <w:tc>
          <w:tcPr>
            <w:tcW w:type="dxa" w:w="2200"/>
            <w:tcMar>
              <w:top w:type="dxa" w:w="100"/>
              <w:left w:type="dxa" w:w="120"/>
              <w:bottom w:type="dxa" w:w="100"/>
              <w:right w:type="dxa" w:w="120"/>
            </w:tcMar>
            <w:vAlign w:val="center"/>
          </w:tcPr>
          <w:p>
            <w:r>
              <w:rPr>
                <w:b w:val="false"/>
                <w:bCs w:val="false"/>
                <w:color w:val="000000"/>
                <w:sz w:val="19"/>
                <w:szCs w:val="19"/>
              </w:rPr>
              <w:t xml:space="preserve">~12,99 $</w:t>
            </w:r>
          </w:p>
        </w:tc>
        <w:tc>
          <w:tcPr>
            <w:tcW w:type="dxa" w:w="4626"/>
            <w:tcMar>
              <w:top w:type="dxa" w:w="100"/>
              <w:left w:type="dxa" w:w="120"/>
              <w:bottom w:type="dxa" w:w="100"/>
              <w:right w:type="dxa" w:w="120"/>
            </w:tcMar>
            <w:vAlign w:val="center"/>
          </w:tcPr>
          <w:p>
            <w:r>
              <w:rPr>
                <w:b w:val="false"/>
                <w:bCs w:val="false"/>
                <w:color w:val="000000"/>
                <w:sz w:val="19"/>
                <w:szCs w:val="19"/>
              </w:rPr>
              <w:t xml:space="preserve">Toplam gelirin ~%9’u</w:t>
            </w:r>
          </w:p>
        </w:tc>
      </w:tr>
      <w:tr>
        <w:tc>
          <w:tcPr>
            <w:tcW w:type="dxa" w:w="2200"/>
            <w:tcMar>
              <w:top w:type="dxa" w:w="100"/>
              <w:left w:type="dxa" w:w="120"/>
              <w:bottom w:type="dxa" w:w="100"/>
              <w:right w:type="dxa" w:w="120"/>
            </w:tcMar>
            <w:vAlign w:val="center"/>
          </w:tcPr>
          <w:p>
            <w:r>
              <w:rPr>
                <w:b w:val="false"/>
                <w:bCs w:val="false"/>
                <w:color w:val="000000"/>
                <w:sz w:val="19"/>
                <w:szCs w:val="19"/>
              </w:rPr>
              <w:t xml:space="preserve">Yıllık plan</w:t>
            </w:r>
          </w:p>
        </w:tc>
        <w:tc>
          <w:tcPr>
            <w:tcW w:type="dxa" w:w="2200"/>
            <w:tcMar>
              <w:top w:type="dxa" w:w="100"/>
              <w:left w:type="dxa" w:w="120"/>
              <w:bottom w:type="dxa" w:w="100"/>
              <w:right w:type="dxa" w:w="120"/>
            </w:tcMar>
            <w:vAlign w:val="center"/>
          </w:tcPr>
          <w:p>
            <w:r>
              <w:rPr>
                <w:b w:val="false"/>
                <w:bCs w:val="false"/>
                <w:color w:val="000000"/>
                <w:sz w:val="19"/>
                <w:szCs w:val="19"/>
              </w:rPr>
              <w:t xml:space="preserve">~38,42-44,99 $</w:t>
            </w:r>
          </w:p>
        </w:tc>
        <w:tc>
          <w:tcPr>
            <w:tcW w:type="dxa" w:w="4626"/>
            <w:tcMar>
              <w:top w:type="dxa" w:w="100"/>
              <w:left w:type="dxa" w:w="120"/>
              <w:bottom w:type="dxa" w:w="100"/>
              <w:right w:type="dxa" w:w="120"/>
            </w:tcMar>
            <w:vAlign w:val="center"/>
          </w:tcPr>
          <w:p>
            <w:r>
              <w:rPr>
                <w:b w:val="false"/>
                <w:bCs w:val="false"/>
                <w:color w:val="000000"/>
                <w:sz w:val="19"/>
                <w:szCs w:val="19"/>
              </w:rPr>
              <w:t xml:space="preserve">Toplam gelirin %22’si; aylığa göre ortalama %67 indirimli sunuluyor</w:t>
            </w:r>
          </w:p>
        </w:tc>
      </w:tr>
      <w:tr>
        <w:tc>
          <w:tcPr>
            <w:tcW w:type="dxa" w:w="2200"/>
            <w:tcMar>
              <w:top w:type="dxa" w:w="100"/>
              <w:left w:type="dxa" w:w="120"/>
              <w:bottom w:type="dxa" w:w="100"/>
              <w:right w:type="dxa" w:w="120"/>
            </w:tcMar>
            <w:vAlign w:val="center"/>
          </w:tcPr>
          <w:p>
            <w:r>
              <w:rPr>
                <w:b w:val="false"/>
                <w:bCs w:val="false"/>
                <w:color w:val="000000"/>
                <w:sz w:val="19"/>
                <w:szCs w:val="19"/>
              </w:rPr>
              <w:t xml:space="preserve">Tek seferlik satın alma</w:t>
            </w:r>
          </w:p>
        </w:tc>
        <w:tc>
          <w:tcPr>
            <w:tcW w:type="dxa" w:w="2200"/>
            <w:tcMar>
              <w:top w:type="dxa" w:w="100"/>
              <w:left w:type="dxa" w:w="120"/>
              <w:bottom w:type="dxa" w:w="100"/>
              <w:right w:type="dxa" w:w="120"/>
            </w:tcMar>
            <w:vAlign w:val="center"/>
          </w:tcPr>
          <w:p>
            <w:r>
              <w:rPr>
                <w:b w:val="false"/>
                <w:bCs w:val="false"/>
                <w:color w:val="000000"/>
                <w:sz w:val="19"/>
                <w:szCs w:val="19"/>
              </w:rPr>
              <w:t xml:space="preserve">Değişken</w:t>
            </w:r>
          </w:p>
        </w:tc>
        <w:tc>
          <w:tcPr>
            <w:tcW w:type="dxa" w:w="4626"/>
            <w:tcMar>
              <w:top w:type="dxa" w:w="100"/>
              <w:left w:type="dxa" w:w="120"/>
              <w:bottom w:type="dxa" w:w="100"/>
              <w:right w:type="dxa" w:w="120"/>
            </w:tcMar>
            <w:vAlign w:val="center"/>
          </w:tcPr>
          <w:p>
            <w:r>
              <w:rPr>
                <w:b w:val="false"/>
                <w:bCs w:val="false"/>
                <w:color w:val="000000"/>
                <w:sz w:val="19"/>
                <w:szCs w:val="19"/>
              </w:rPr>
              <w:t xml:space="preserve">Toplam gelirin %17’si; büyüyen bir eğilim (özellikle IAP karşıtı markalarda)</w:t>
            </w:r>
          </w:p>
        </w:tc>
      </w:tr>
    </w:tbl>
    <w:p>
      <w:pPr>
        <w:pStyle w:val="Heading2"/>
        <w:spacing w:after="120" w:before="240"/>
      </w:pPr>
      <w:r>
        <w:t xml:space="preserve">4.3 B2B2C / Okul ve Kurum Lisanslama</w:t>
      </w:r>
    </w:p>
    <w:p>
      <w:pPr>
        <w:spacing w:after="200" w:line="276"/>
        <w:jc w:val="both"/>
      </w:pPr>
      <w:r>
        <w:rPr>
          <w:sz w:val="22"/>
          <w:szCs w:val="22"/>
        </w:rPr>
        <w:t xml:space="preserve">İkinci katman gelir olarak okul/kurum lisanslama giderek öne çıkıyor. Epic!, doğrulanmış öğretmenlere tam kütüphaneyi ücretsiz açarak sınıflarda organik biçimde yayılıyor; sonra aynı öğretmenlerin önerdiği aileler bireysel abonelik satın alıyor — öğretmen ücretsiz katmanı aslında bir kullanıcı kazanım kanalı işlevi görüyor. MentalUP, okul ve kurumsal lisanslamayı bireysel abonelikle birlikte ikinci gelir bacağı olarak kullanıyor. Bu model tek bir mağaza algoritmasına bağımlılığı azalttığı ve öngörülebilir kurumsal gelir sağladığı için özellikle erken aşama girişimler için cazip.</w:t>
      </w:r>
    </w:p>
    <w:p>
      <w:pPr>
        <w:pStyle w:val="Heading2"/>
        <w:spacing w:after="120" w:before="240"/>
      </w:pPr>
      <w:r>
        <w:t xml:space="preserve">4.4 Reklam Tabanlı Gelir ve Kısıtlamalar</w:t>
      </w:r>
    </w:p>
    <w:p>
      <w:pPr>
        <w:spacing w:after="200" w:line="276"/>
        <w:jc w:val="both"/>
      </w:pPr>
      <w:r>
        <w:rPr>
          <w:sz w:val="22"/>
          <w:szCs w:val="22"/>
        </w:rPr>
        <w:t xml:space="preserve">Çocuklara reklam göstermek 2025 COPPA güncellemesiyle iyice daraldı: tam ekran (interstisyel) reklamlar ve davranışsal/kişiselleştirilmiş hedefleme tamamen yasak; yalnızca bağlamsal reklamlar, insan denetiminden geçmiş kreatiflerle ve SuperAwesome/AwesomeAds gibi COPPA/GDPR-K sertifikalı ağlar üzerinden gösterilebiliyor. Sonuç olarak çocuk içeriğinde reklam geliri (RPM) 1-3 $ bandında kalıyor; genel içerikte bu rakam 5-15 $’a çıkabiliyor. AppLovin gibi büyük reklam ağları Ocak 2025’ten itibaren COPPA kapsamındaki kullanıcılara reklam sunmayı tamamen durdurdu. Kısacası saf reklam modeliyle çocuk uygulaması büyütmek gittikçe zorlaşıyor; reklam ancak tamamlayıcı bir gelir katmanı olarak düşünülmeli.</w:t>
      </w:r>
    </w:p>
    <w:p>
      <w:pPr>
        <w:pStyle w:val="Heading2"/>
        <w:spacing w:after="120" w:before="240"/>
      </w:pPr>
      <w:r>
        <w:t xml:space="preserve">4.5 Paket (Bundle) ve Portföy Modelleri</w:t>
      </w:r>
    </w:p>
    <w:p>
      <w:pPr>
        <w:spacing w:after="200" w:line="276"/>
        <w:jc w:val="both"/>
      </w:pPr>
      <w:r>
        <w:rPr>
          <w:sz w:val="22"/>
          <w:szCs w:val="22"/>
        </w:rPr>
        <w:t xml:space="preserve">Toca Boca/Sago Mini’yi bünyesinde barındıran Spin Master, “Piknik” adlı tek abonelikle Sago Mini World, Toca Life World ve Endless Alphabet’e erişim sunan bir “çocuklar için Netflix” paketi kurdu — reklamsız, IAP’siz, tek faturayla çoklu-uygulama deneyimi. Edudi ise tam tersi bir mantıkla, 30’un üzerinde ayrı uygulamadan oluşan bir portföyle farklı anahtar kelime ve niş kategorilerde görünürlük yakalayıp toplam kullanıcı tabanını büyütüyor. Her iki yaklaşım da tek-uygulama bağımlılığını azaltmanın farklı yolları.</w:t>
      </w:r>
    </w:p>
    <w:p>
      <w:pPr>
        <w:pStyle w:val="Heading1"/>
        <w:spacing w:after="160" w:before="360"/>
      </w:pPr>
      <w:r>
        <w:t xml:space="preserve">5. Kaçınılması Gereken Riskler</w:t>
      </w:r>
    </w:p>
    <w:p>
      <w:pPr>
        <w:spacing w:after="200" w:line="276"/>
        <w:jc w:val="both"/>
      </w:pPr>
      <w:r>
        <w:rPr>
          <w:sz w:val="22"/>
          <w:szCs w:val="22"/>
        </w:rPr>
        <w:t xml:space="preserve">Çocuk uygulamalarında “karanlık tasarım” (dark pattern) kullanımı hem etik hem yasal açıdan yüksek risk taşır. Tipik örnekler arasında “yarın gel, ejderha kazan” tarzı geri dönüş bildirimleri, “sadece birkaç puanla seviye atlayacaksın, çıkmak istediğine emin misin?” gibi duygusal manipülasyon içeren çıkış ekranları ve çocuğu ebeveynden satın alma isteği koparmaya iten mesajlar sayılabilir. Bu pratiklerin bedeli ağır olabiliyor: FTC, Fortnite’ı geliştiren Epic Games’i çocukların gizliliğini yeterince korumadığı ve kullanıcıları satın almaya yönelik manipülatif arayüzlerle yönlendirdiği gerekçesiyle 520 milyon $ para cezası ve iadeye mahkûm etti. Ebeveynlerin en sık şikâyeti de bildirim yorgunluğu (“evcil hayvanın seni özledi, gel oyna”) ve kullanım takibi sunan bir ebeveyn panelinin eksikliği yönünde. Pratik çıkarım: satın alma her zaman ebeveyn onay ekranının arkasında olmalı, bildirimler manipülatif dil kullanmamalı ve uygulama tasarımı “bağımlılık” yerine “tamamlanma hissi” üzerine kurulmalı.</w:t>
      </w:r>
    </w:p>
    <w:p>
      <w:pPr>
        <w:pStyle w:val="Heading1"/>
        <w:spacing w:after="160" w:before="360"/>
      </w:pPr>
      <w:r>
        <w:t xml:space="preserve">6. Fırsat Alanları (Pazar Boşlukları)</w:t>
      </w:r>
    </w:p>
    <w:p>
      <w:pPr>
        <w:spacing w:after="200" w:line="276"/>
        <w:jc w:val="both"/>
      </w:pPr>
      <w:r>
        <w:rPr>
          <w:sz w:val="22"/>
          <w:szCs w:val="22"/>
        </w:rPr>
        <w:t xml:space="preserve">Sosyal-duygusal öğrenme (SEL), özellikle 4-8 yaş grubunda iyi finanse edilmiş büyük oyunculardan sınırlı doğrudan rekabetle karşı karşıya — yani pazar hızlı büyürken kategori henüz bir Khan Academy Kids ya da ABCmouse ölçeğinde bir lider bulmuş değil. Duygu tanıma, empati ve öz-düzenleme becerilerine odaklanan, ebeveyne somut öneriler sunan bir ürün için alan var.</w:t>
      </w:r>
    </w:p>
    <w:p>
      <w:pPr>
        <w:spacing w:after="200" w:line="276"/>
        <w:jc w:val="both"/>
      </w:pPr>
      <w:r>
        <w:rPr>
          <w:sz w:val="22"/>
          <w:szCs w:val="22"/>
        </w:rPr>
        <w:t xml:space="preserve">Otizm ve DEHB tanılı çocuklara yönelik uygulamalar pazarı hızlı büyüyor ve aileler bu alanda çocuk başına yılda ortalama 8.600 $ ek eğitim harcaması yapıyor — yani ödeme isteği yüksek ama pazar hâlâ parçalı. Ayarlanabilir duyusal yoğunluk, görsel rutin/program oluşturucular ve terapistlerle ortak tasarlanmış sosyal öyküler gibi özellikler ciddi bir farklılaşma alanı sunuyor; DEHB uygulamalarının yalnızca %37’si şu anda yapay zekâ destekli kişiselleştirme sunuyor, bu oranın düşüklüğü de bir fırsat.</w:t>
      </w:r>
    </w:p>
    <w:p>
      <w:pPr>
        <w:spacing w:after="200" w:line="276"/>
        <w:jc w:val="both"/>
      </w:pPr>
      <w:r>
        <w:rPr>
          <w:sz w:val="22"/>
          <w:szCs w:val="22"/>
        </w:rPr>
        <w:t xml:space="preserve">MentalUP ve Edudi’nin uluslararası başarısı, Türkiye merkezli bir ekibin küresel kaliteye ulaşabileceğini gösteriyor; ama büyük global oyuncuların (Khan Academy Kids, ABCmouse, Lingokids, Epic!) çoğu İngilizce-öncelikli ve içerik yerelleştirmesi yüzeysel kalıyor. Türk kültürüne ait özgün karakter/hikâye evrenine sahip, MEB müfredatına hizalı, iki dilli (TR-EN) kaliteli bir erken okuryazarlık/okul öncesi ürünü hâlâ doldurulmamış bir boşluk.</w:t>
      </w:r>
    </w:p>
    <w:p>
      <w:pPr>
        <w:spacing w:after="200" w:line="276"/>
        <w:jc w:val="both"/>
      </w:pPr>
      <w:r>
        <w:rPr>
          <w:sz w:val="22"/>
          <w:szCs w:val="22"/>
        </w:rPr>
        <w:t xml:space="preserve">Yapay zekâ destekli uyarlanabilir öğrenme 2026’nın en büyük teknoloji trendi olsa da, COPPA’nın 2025 güncellemesi çocuk verisinin yapay zekâ eğitimi için kullanılmasına ayrı onay şartı getirdi. Bu durum, gizlilik önceliğini pazarlama diline taşıyan (“verileriniz asla model eğitiminde kullanılmaz”) bir yapay-zekâ-destekli ürün için hem teknik hem güven açısından fark yaratma fırsatı yaratıyor.</w:t>
      </w:r>
    </w:p>
    <w:p>
      <w:pPr>
        <w:spacing w:after="200" w:line="276"/>
        <w:jc w:val="both"/>
      </w:pPr>
      <w:r>
        <w:rPr>
          <w:sz w:val="22"/>
          <w:szCs w:val="22"/>
        </w:rPr>
        <w:t xml:space="preserve">Ebeveynlerin ekran süresi kaygısı azalmıyor; Sago Mini World’ün “dopamin tetikleyicisi değil, sakin ve açık uçlu oyun” konumlandırması bunun karşılığını buluyor. Uygulamayı bitiş noktası değil, gerçek dünyadaki bir el işi/mutfak/dışarı etkinliğine “köprü” olarak konumlandıran, ebeveyn-çocuk birlikte oynamasını zorunlu kılan tasarımlar hem ebeveyn güvenini kazanıyor hem de “ekrana daha az bağımlı uygulama” pazarlama anlatısını mümkün kılıyor.</w:t>
      </w:r>
    </w:p>
    <w:p>
      <w:pPr>
        <w:pStyle w:val="Heading1"/>
        <w:spacing w:after="160" w:before="360"/>
      </w:pPr>
      <w:r>
        <w:t xml:space="preserve">7. Önerilen Uygulama Fikirleri</w:t>
      </w:r>
    </w:p>
    <w:p>
      <w:pPr>
        <w:pStyle w:val="Heading2"/>
        <w:spacing w:after="120" w:before="240"/>
      </w:pPr>
      <w:r>
        <w:t xml:space="preserve">7.1 Duygu Dedektifleri — Sosyal-Duygusal Öğrenme Uygulaması</w:t>
      </w:r>
    </w:p>
    <w:p>
      <w:pPr>
        <w:spacing w:after="200" w:line="276"/>
        <w:jc w:val="both"/>
      </w:pPr>
      <w:r>
        <w:rPr>
          <w:sz w:val="22"/>
          <w:szCs w:val="22"/>
        </w:rPr>
        <w:t xml:space="preserve">4-8 yaş için, karakter tabanlı mini oyunlarla duygu tanıma, empati ve öz-düzenleme becerisi kazandıran bir uygulama. Çocuğun günlük “duygu kaydı” verisinden ebeveyne haftalık, somut ve yargılamayan öneri kartları üretilir (ör. “Bu hafta öfke anlarında X oyununu deneyin”). Gelir modeli: aile aboneliği (aylık/yıllık) + anaokulu/ilkokul kurumsal lisansı. Farklılaşma: kategori henüz konsolide olmadığından erken hareket avantajı yüksek; çocuk psikologlarıyla ortak müfredat tasarımı güven inşa eder.</w:t>
      </w:r>
    </w:p>
    <w:p>
      <w:pPr>
        <w:pStyle w:val="Heading2"/>
        <w:spacing w:after="120" w:before="240"/>
      </w:pPr>
      <w:r>
        <w:t xml:space="preserve">7.2 Kendi Hızında — Nörofarklılık-Dostu Gelişim Uygulaması</w:t>
      </w:r>
    </w:p>
    <w:p>
      <w:pPr>
        <w:spacing w:after="200" w:line="276"/>
        <w:jc w:val="both"/>
      </w:pPr>
      <w:r>
        <w:rPr>
          <w:sz w:val="22"/>
          <w:szCs w:val="22"/>
        </w:rPr>
        <w:t xml:space="preserve">Otizm spektrumu ve DEHB’li çocuklar için ergoterapist ve çocuk psikologlarıyla birlikte tasarlanmış bir uygulama: ayarlanabilir uyaran yoğunluğu (ses/hız/renk), görsel günlük rutin oluşturucu ve sosyal beceri öyküleri kütüphanesi. Gelir modeli: terapi klinikleri ve özel eğitim kurumlarına B2B2C lisans + aile aboneliği. Farklılaşma: pazar büyük ve ödeme isteği yüksek, ama parçalı ve düşük yapay zekâ kişiselleştirmesi sunuyor — teknik olarak güçlü bir ürün hızla öne çıkabilir.</w:t>
      </w:r>
    </w:p>
    <w:p>
      <w:pPr>
        <w:pStyle w:val="Heading2"/>
        <w:spacing w:after="120" w:before="240"/>
      </w:pPr>
      <w:r>
        <w:t xml:space="preserve">7.3 Kelime Bahçesi — Türkçe-Öncelikli İki Dilli Okuryazarlık Uygulaması</w:t>
      </w:r>
    </w:p>
    <w:p>
      <w:pPr>
        <w:spacing w:after="200" w:line="276"/>
        <w:jc w:val="both"/>
      </w:pPr>
      <w:r>
        <w:rPr>
          <w:sz w:val="22"/>
          <w:szCs w:val="22"/>
        </w:rPr>
        <w:t xml:space="preserve">3-8 yaş için, Türk kültürüne ait özgün karakter ve hikâye evrenine sahip, MEB okul öncesi/ilkokul kazanımlarına hizalı, Türkçe-İngilizce iki dilli bir erken okuryazarlık uygulaması. Gelir modeli: freemium + yıllık aile aboneliği, ileride yurt dışındaki Türk diasporası ailelerine genişleme. Farklılaşma: MentalUP ve Edudi’nin kanıtladığı gibi Türkiye merkezli ekipler bu kategoride küresel kaliteye ulaşabiliyor, ama yerli-dil-öncelikli, derinlikli içerik boşluğu hâlâ dolu değil.</w:t>
      </w:r>
    </w:p>
    <w:p>
      <w:pPr>
        <w:pStyle w:val="Heading2"/>
        <w:spacing w:after="120" w:before="240"/>
      </w:pPr>
      <w:r>
        <w:t xml:space="preserve">7.4 Ekran Molası — Gerçek Dünyaya Köprü Uygulaması</w:t>
      </w:r>
    </w:p>
    <w:p>
      <w:pPr>
        <w:spacing w:after="200" w:line="276"/>
        <w:jc w:val="both"/>
      </w:pPr>
      <w:r>
        <w:rPr>
          <w:sz w:val="22"/>
          <w:szCs w:val="22"/>
        </w:rPr>
        <w:t xml:space="preserve">Çocuğun ilgi alanına göre günlük offline görev/aktivite üreten (el işi, mutfak, bahçe, dışarı oyunu), tamamlanan görevleri fotoğrafla işaretleyen bir ebeveyn-çocuk uygulaması. Uygulama içi süre kasıtlı olarak kısa tutulur; başarı metriği “ekranda geçirilen süre” değil “birlikte tamamlanan görev sayısı”dır. Gelir modeli: reklamsız, sade aylık/yıllık abonelik. Farklılaşma: ebeveynlerin ekran süresi kaygısını doğrudan çözüme kavuşturan konumlandırma, Sago Mini World’ün “dopamin tetikleyicisi değil” felsefesinin bir adım ötesi.</w:t>
      </w:r>
    </w:p>
    <w:p>
      <w:pPr>
        <w:pStyle w:val="Heading2"/>
        <w:spacing w:after="120" w:before="240"/>
      </w:pPr>
      <w:r>
        <w:t xml:space="preserve">7.5 Ustaca Eller — İnce Motor Beceri ve Yaratıcılık Uygulaması</w:t>
      </w:r>
    </w:p>
    <w:p>
      <w:pPr>
        <w:spacing w:after="200" w:line="276"/>
        <w:jc w:val="both"/>
      </w:pPr>
      <w:r>
        <w:rPr>
          <w:sz w:val="22"/>
          <w:szCs w:val="22"/>
        </w:rPr>
        <w:t xml:space="preserve">2-6 yaş için Toca Boca esintili ama yerli karakterlerle, açık uçlu dijital oyuncak tarzında bir uygulama: kesme, yapıştırma, boyama, inşa etme gibi ince motor beceriyi destekleyen etkileşimler. IAP tamamen kapalı, tek gelir kaynağı abonelik. Farklılaşma: Türk çizgi film/IP sahipleriyle lisans ortaklığı kurularak (yerli karakterlerin dijital oyuncak versiyonu) hem farklılaşma hem pazarlama desteği sağlanabilir.</w:t>
      </w:r>
    </w:p>
    <w:p>
      <w:pPr>
        <w:pStyle w:val="Heading1"/>
        <w:spacing w:after="160" w:before="360"/>
      </w:pPr>
      <w:r>
        <w:t xml:space="preserve">8. Önerilen İlk Adımlar</w:t>
      </w:r>
    </w:p>
    <w:p>
      <w:pPr>
        <w:spacing w:after="200" w:line="276"/>
        <w:jc w:val="both"/>
      </w:pPr>
      <w:r>
        <w:rPr>
          <w:sz w:val="22"/>
          <w:szCs w:val="22"/>
        </w:rPr>
        <w:t xml:space="preserve">Beş fikir arasından seçim yaparken üç filtre öneriyoruz. Birincisi, kurucu ekipte veya danışman kadrosunda gerçek bir çocuk gelişimi/psikoloji/pedagoji uzmanının bulunması — hem platformlar (Apple, Google) hem ebeveynler bunu arıyor. İkincisi, ilk sürümde tek bir yaş bandına ve tek bir beceriye odaklanıp MVP’yi 10-20 aktiviteyle sınamak, sonra genişletmek. Üçüncüsü, gelir modelini en baştan freemium-artı-abonelik ile en az bir B2B2C kanalı (okul, anaokulu veya klinik) içerecek şekilde kurgulamak, çünkü saf reklam modeli COPPA sonrası sürdürülemez hâle geldi. Apple Kids kategorisi ve Google Play Aileler/Teacher Approved başvuru kriterleri geliştirme sürecinin en başında — tasarım kararları alınmadan önce — incelenmeli; sonradan uyumlu hâle getirmek çok daha maliyetli.</w:t>
      </w:r>
    </w:p>
    <w:p>
      <w:pPr>
        <w:pStyle w:val="Heading1"/>
        <w:spacing w:after="160" w:before="360"/>
      </w:pPr>
      <w:r>
        <w:t xml:space="preserve">Kaynaklar</w:t>
      </w:r>
    </w:p>
    <w:p>
      <w:pPr>
        <w:spacing w:after="80"/>
      </w:pPr>
      <w:r>
        <w:rPr>
          <w:color w:val="444444"/>
          <w:sz w:val="19"/>
          <w:szCs w:val="19"/>
        </w:rPr>
        <w:t xml:space="preserve">Educational App Store — Best Apps for Kids 2026 — https://www.educationalappstore.com/app-lists/best-apps-for-kids</w:t>
      </w:r>
    </w:p>
    <w:p>
      <w:pPr>
        <w:spacing w:after="80"/>
      </w:pPr>
      <w:r>
        <w:rPr>
          <w:color w:val="444444"/>
          <w:sz w:val="19"/>
          <w:szCs w:val="19"/>
        </w:rPr>
        <w:t xml:space="preserve">Research.com — 16 Best Educational Apps for Kids 2026 — https://research.com/software/best-educational-apps-for-kids</w:t>
      </w:r>
    </w:p>
    <w:p>
      <w:pPr>
        <w:spacing w:after="80"/>
      </w:pPr>
      <w:r>
        <w:rPr>
          <w:color w:val="444444"/>
          <w:sz w:val="19"/>
          <w:szCs w:val="19"/>
        </w:rPr>
        <w:t xml:space="preserve">Create &amp; Learn — Top Education Apps for Kids 2026 — https://www.create-learn.us/blog/top-education-apps/</w:t>
      </w:r>
    </w:p>
    <w:p>
      <w:pPr>
        <w:spacing w:after="80"/>
      </w:pPr>
      <w:r>
        <w:rPr>
          <w:color w:val="444444"/>
          <w:sz w:val="19"/>
          <w:szCs w:val="19"/>
        </w:rPr>
        <w:t xml:space="preserve">Vizologi — Khan Academy Business Model — https://vizologi.com/business-strategy-canvas/khan-academy-business-model-canvas/</w:t>
      </w:r>
    </w:p>
    <w:p>
      <w:pPr>
        <w:spacing w:after="80"/>
      </w:pPr>
      <w:r>
        <w:rPr>
          <w:color w:val="444444"/>
          <w:sz w:val="19"/>
          <w:szCs w:val="19"/>
        </w:rPr>
        <w:t xml:space="preserve">Lingokids — 120 milyon $ yatırım duyurusu — https://lingokids.com/press/linogkids-raises-120m-in-funding-to-expand-its-position</w:t>
      </w:r>
    </w:p>
    <w:p>
      <w:pPr>
        <w:spacing w:after="80"/>
      </w:pPr>
      <w:r>
        <w:rPr>
          <w:color w:val="444444"/>
          <w:sz w:val="19"/>
          <w:szCs w:val="19"/>
        </w:rPr>
        <w:t xml:space="preserve">Kidscreen — Lingokids 120 milyon $ yatırım haberi — https://kidscreen.com/2025/09/17/lingokids-lands-a-us120-million-investment/</w:t>
      </w:r>
    </w:p>
    <w:p>
      <w:pPr>
        <w:spacing w:after="80"/>
      </w:pPr>
      <w:r>
        <w:rPr>
          <w:color w:val="444444"/>
          <w:sz w:val="19"/>
          <w:szCs w:val="19"/>
        </w:rPr>
        <w:t xml:space="preserve">FTC — Kids’ Privacy (COPPA) — https://www.ftc.gov/news-events/topics/protecting-consumer-privacy-security/kids-privacy-coppa</w:t>
      </w:r>
    </w:p>
    <w:p>
      <w:pPr>
        <w:spacing w:after="80"/>
      </w:pPr>
      <w:r>
        <w:rPr>
          <w:color w:val="444444"/>
          <w:sz w:val="19"/>
          <w:szCs w:val="19"/>
        </w:rPr>
        <w:t xml:space="preserve">Promise Legal — COPPA Compliance 2025 Guide — https://blog.promise.legal/startup-central/coppa-compliance-in-2025-a-practical-guide-for-tech-edtech-and-kids-apps/</w:t>
      </w:r>
    </w:p>
    <w:p>
      <w:pPr>
        <w:spacing w:after="80"/>
      </w:pPr>
      <w:r>
        <w:rPr>
          <w:color w:val="444444"/>
          <w:sz w:val="19"/>
          <w:szCs w:val="19"/>
        </w:rPr>
        <w:t xml:space="preserve">Promise Legal — COPPA Verified Parental Consent Methods — https://blog.promise.legal/coppa-verified-parental-consent-methods/</w:t>
      </w:r>
    </w:p>
    <w:p>
      <w:pPr>
        <w:spacing w:after="80"/>
      </w:pPr>
      <w:r>
        <w:rPr>
          <w:color w:val="444444"/>
          <w:sz w:val="19"/>
          <w:szCs w:val="19"/>
        </w:rPr>
        <w:t xml:space="preserve">Chop Dawg — Child Safety in App Development 2026 — https://www.chopdawg.com/child-safety-in-app-development-coppa-compliance-age-verification-and-parental-controls-in-2026/</w:t>
      </w:r>
    </w:p>
    <w:p>
      <w:pPr>
        <w:spacing w:after="80"/>
      </w:pPr>
      <w:r>
        <w:rPr>
          <w:color w:val="444444"/>
          <w:sz w:val="19"/>
          <w:szCs w:val="19"/>
        </w:rPr>
        <w:t xml:space="preserve">Adapty — Education App Subscription Benchmarks — https://adapty.io/blog/education-app-subscription-benchmarks/</w:t>
      </w:r>
    </w:p>
    <w:p>
      <w:pPr>
        <w:spacing w:after="80"/>
      </w:pPr>
      <w:r>
        <w:rPr>
          <w:color w:val="444444"/>
          <w:sz w:val="19"/>
          <w:szCs w:val="19"/>
        </w:rPr>
        <w:t xml:space="preserve">Airbridge — Subscription App Pricing by Category 2026 — https://www.airbridge.io/en/blog/subscription-app-pricing-by-category-2026-benchmark</w:t>
      </w:r>
    </w:p>
    <w:p>
      <w:pPr>
        <w:spacing w:after="80"/>
      </w:pPr>
      <w:r>
        <w:rPr>
          <w:color w:val="444444"/>
          <w:sz w:val="19"/>
          <w:szCs w:val="19"/>
        </w:rPr>
        <w:t xml:space="preserve">Apple Developer — App Store Categories — https://developer.apple.com/app-store/categories/</w:t>
      </w:r>
    </w:p>
    <w:p>
      <w:pPr>
        <w:spacing w:after="80"/>
      </w:pPr>
      <w:r>
        <w:rPr>
          <w:color w:val="444444"/>
          <w:sz w:val="19"/>
          <w:szCs w:val="19"/>
        </w:rPr>
        <w:t xml:space="preserve">Apple Developer News — App Updates in the Kids Category — https://developer.apple.com/news/?id=091202019a</w:t>
      </w:r>
    </w:p>
    <w:p>
      <w:pPr>
        <w:spacing w:after="80"/>
      </w:pPr>
      <w:r>
        <w:rPr>
          <w:color w:val="444444"/>
          <w:sz w:val="19"/>
          <w:szCs w:val="19"/>
        </w:rPr>
        <w:t xml:space="preserve">Google Play Console Help — Families Policies — https://support.google.com/googleplay/android-developer/answer/9893335?hl=en</w:t>
      </w:r>
    </w:p>
    <w:p>
      <w:pPr>
        <w:spacing w:after="80"/>
      </w:pPr>
      <w:r>
        <w:rPr>
          <w:color w:val="444444"/>
          <w:sz w:val="19"/>
          <w:szCs w:val="19"/>
        </w:rPr>
        <w:t xml:space="preserve">Android Developers Blog — Teacher Approved Program — https://android-developers.googleblog.com/2022/11/helping-kids-and-families-find-high-quality-apps-for-kids.html</w:t>
      </w:r>
    </w:p>
    <w:p>
      <w:pPr>
        <w:spacing w:after="80"/>
      </w:pPr>
      <w:r>
        <w:rPr>
          <w:color w:val="444444"/>
          <w:sz w:val="19"/>
          <w:szCs w:val="19"/>
        </w:rPr>
        <w:t xml:space="preserve">IMARC Group — Education Apps Market — https://www.imarcgroup.com/education-apps-market</w:t>
      </w:r>
    </w:p>
    <w:p>
      <w:pPr>
        <w:spacing w:after="80"/>
      </w:pPr>
      <w:r>
        <w:rPr>
          <w:color w:val="444444"/>
          <w:sz w:val="19"/>
          <w:szCs w:val="19"/>
        </w:rPr>
        <w:t xml:space="preserve">Global Growth Insights — Apps for Kids Market — https://www.globalgrowthinsights.com/market-reports/apps-for-kids-market-100707</w:t>
      </w:r>
    </w:p>
    <w:p>
      <w:pPr>
        <w:spacing w:after="80"/>
      </w:pPr>
      <w:r>
        <w:rPr>
          <w:color w:val="444444"/>
          <w:sz w:val="19"/>
          <w:szCs w:val="19"/>
        </w:rPr>
        <w:t xml:space="preserve">Fortune Business Insights — SEL Market — https://www.fortunebusinessinsights.com/social-and-emotional-learning-market-107347</w:t>
      </w:r>
    </w:p>
    <w:p>
      <w:pPr>
        <w:spacing w:after="80"/>
      </w:pPr>
      <w:r>
        <w:rPr>
          <w:color w:val="444444"/>
          <w:sz w:val="19"/>
          <w:szCs w:val="19"/>
        </w:rPr>
        <w:t xml:space="preserve">Market Growth Reports — ADHD Apps Market — https://www.marketgrowthreports.com/market-reports/adhd-apps-market-115215</w:t>
      </w:r>
    </w:p>
    <w:p>
      <w:pPr>
        <w:spacing w:after="80"/>
      </w:pPr>
      <w:r>
        <w:rPr>
          <w:color w:val="444444"/>
          <w:sz w:val="19"/>
          <w:szCs w:val="19"/>
        </w:rPr>
        <w:t xml:space="preserve">SuperAwesome — AwesomeAds (COPPA-uyumlu reklam ağı) — https://www.superawesome.com/awesomeads-for-advertisers/</w:t>
      </w:r>
    </w:p>
    <w:p>
      <w:pPr>
        <w:spacing w:after="80"/>
      </w:pPr>
      <w:r>
        <w:rPr>
          <w:color w:val="444444"/>
          <w:sz w:val="19"/>
          <w:szCs w:val="19"/>
        </w:rPr>
        <w:t xml:space="preserve">Proton — How to Recognize Bad Design in Apps for Kids — https://proton.me/blog/how-to-recognize-bad-design-in-apps-for-kids-proton</w:t>
      </w:r>
    </w:p>
    <w:p>
      <w:pPr>
        <w:spacing w:after="80"/>
      </w:pPr>
      <w:r>
        <w:rPr>
          <w:color w:val="444444"/>
          <w:sz w:val="19"/>
          <w:szCs w:val="19"/>
        </w:rPr>
        <w:t xml:space="preserve">Michigan Medicine — Design Tricks Used to Monetize Kids’ App Use — https://www.michiganmedicine.org/health-lab/design-tricks-commonly-used-monetize-young-childrens-app-use</w:t>
      </w:r>
    </w:p>
    <w:p>
      <w:pPr>
        <w:spacing w:after="80"/>
      </w:pPr>
      <w:r>
        <w:rPr>
          <w:color w:val="444444"/>
          <w:sz w:val="19"/>
          <w:szCs w:val="19"/>
        </w:rPr>
        <w:t xml:space="preserve">PR Newswire — Spin Master, Toca Boca ve Sago Mini’yi Satın Alıyor — https://www.prnewswire.com/news-releases/spin-master-announces-the-purchase-of-toca-boca-and-sago-mini-leading-global-kids-mobile-digital-app-brands-576557261.html</w:t>
      </w:r>
    </w:p>
    <w:p>
      <w:pPr>
        <w:spacing w:after="80"/>
      </w:pPr>
      <w:r>
        <w:rPr>
          <w:color w:val="444444"/>
          <w:sz w:val="19"/>
          <w:szCs w:val="19"/>
        </w:rPr>
        <w:t xml:space="preserve">Screenwise — Sago Mini / Piknik Bundle Rehberi — https://screenwiseapp.com/guides/sago-mini-apps-for-toddlers</w:t>
      </w:r>
    </w:p>
    <w:p>
      <w:pPr>
        <w:spacing w:after="80"/>
      </w:pPr>
      <w:r>
        <w:rPr>
          <w:color w:val="444444"/>
          <w:sz w:val="19"/>
          <w:szCs w:val="19"/>
        </w:rPr>
        <w:t xml:space="preserve">MentalUP — About Us — https://www.mentalup.co/about-us</w:t>
      </w:r>
    </w:p>
    <w:p>
      <w:pPr>
        <w:spacing w:after="80"/>
      </w:pPr>
      <w:r>
        <w:rPr>
          <w:color w:val="444444"/>
          <w:sz w:val="19"/>
          <w:szCs w:val="19"/>
        </w:rPr>
        <w:t xml:space="preserve">Wikipedia — Mentalup — https://en.wikipedia.org/wiki/Mentalup</w:t>
      </w:r>
    </w:p>
    <w:p>
      <w:pPr>
        <w:spacing w:after="80"/>
      </w:pPr>
      <w:r>
        <w:rPr>
          <w:color w:val="444444"/>
          <w:sz w:val="19"/>
          <w:szCs w:val="19"/>
        </w:rPr>
        <w:t xml:space="preserve">Daily Sabah — Backed by Fresh Funding, Turkish Startups Embark on Global Journey — https://www.dailysabah.com/business/tech/backed-by-fresh-funding-turkish-startups-embark-on-global-journey</w:t>
      </w:r>
    </w:p>
    <w:p>
      <w:pPr>
        <w:spacing w:after="80"/>
      </w:pPr>
      <w:r>
        <w:rPr>
          <w:color w:val="444444"/>
          <w:sz w:val="19"/>
          <w:szCs w:val="19"/>
        </w:rPr>
        <w:t xml:space="preserve">Buse Terim — Türkiye’den Çıkmış En İyi Çocuk Uygulamaları — https://www.buseterim.com.tr/tr/yasam/teknoloji/turkiye-den-cikmis-en-iyi-cocuk-uygulamalari</w:t>
      </w:r>
    </w:p>
    <w:p>
      <w:pPr>
        <w:spacing w:after="80"/>
      </w:pPr>
      <w:r>
        <w:rPr>
          <w:color w:val="444444"/>
          <w:sz w:val="19"/>
          <w:szCs w:val="19"/>
        </w:rPr>
        <w:t xml:space="preserve">MyElearningWorld — Epic Pricing 2025 Guide — https://myelearningworld.com/epic-pricing/</w:t>
      </w:r>
    </w:p>
    <w:p>
      <w:pPr>
        <w:spacing w:after="80"/>
      </w:pPr>
      <w:r>
        <w:rPr>
          <w:color w:val="444444"/>
          <w:sz w:val="19"/>
          <w:szCs w:val="19"/>
        </w:rPr>
        <w:t xml:space="preserve">Martini.ai — Epic for Kids Research — https://martini.ai/pages/research/Epic%20for%20Kids-5486ed2303e5e6e9a224964e52b40d71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2026-08-08T12:38:04.727Z</dcterms:created>
  <dcterms:modified xsi:type="dcterms:W3CDTF">2026-08-08T12:38:04.727Z</dcterms:modified>
</cp:coreProperties>
</file>

<file path=docProps/custom.xml><?xml version="1.0" encoding="utf-8"?>
<Properties xmlns="http://schemas.openxmlformats.org/officeDocument/2006/custom-properties" xmlns:vt="http://schemas.openxmlformats.org/officeDocument/2006/docPropsVTypes"/>
</file>