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sz w:val="22"/>
          <w:szCs w:val="22"/>
        </w:rPr>
        <w:t xml:space="preserve">March 6, 2026</w:t>
      </w:r>
    </w:p>
    <w:p>
      <w:pPr>
        <w:spacing w:after="60"/>
      </w:pPr>
      <w:r>
        <w:rPr>
          <w:rFonts w:ascii="Arial" w:cs="Arial" w:eastAsia="Arial" w:hAnsi="Arial"/>
          <w:sz w:val="22"/>
          <w:szCs w:val="22"/>
        </w:rPr>
        <w:t xml:space="preserve">Centers for Medicare &amp; Medicaid Services</w:t>
      </w:r>
    </w:p>
    <w:p>
      <w:pPr>
        <w:spacing w:after="60"/>
      </w:pPr>
      <w:r>
        <w:rPr>
          <w:rFonts w:ascii="Arial" w:cs="Arial" w:eastAsia="Arial" w:hAnsi="Arial"/>
          <w:sz w:val="22"/>
          <w:szCs w:val="22"/>
        </w:rPr>
        <w:t xml:space="preserve">Department of Health and Human Services</w:t>
      </w:r>
    </w:p>
    <w:p>
      <w:pPr>
        <w:spacing w:after="60"/>
      </w:pPr>
      <w:r>
        <w:rPr>
          <w:rFonts w:ascii="Arial" w:cs="Arial" w:eastAsia="Arial" w:hAnsi="Arial"/>
          <w:sz w:val="22"/>
          <w:szCs w:val="22"/>
        </w:rPr>
        <w:t xml:space="preserve">Attention: CMS-6098-NC</w:t>
      </w:r>
    </w:p>
    <w:p>
      <w:pPr>
        <w:spacing w:after="60"/>
      </w:pPr>
      <w:r>
        <w:rPr>
          <w:rFonts w:ascii="Arial" w:cs="Arial" w:eastAsia="Arial" w:hAnsi="Arial"/>
          <w:sz w:val="22"/>
          <w:szCs w:val="22"/>
        </w:rPr>
        <w:t xml:space="preserve">P.O. Box 8016</w:t>
      </w:r>
    </w:p>
    <w:p>
      <w:pPr>
        <w:spacing w:after="200"/>
      </w:pPr>
      <w:r>
        <w:rPr>
          <w:rFonts w:ascii="Arial" w:cs="Arial" w:eastAsia="Arial" w:hAnsi="Arial"/>
          <w:sz w:val="22"/>
          <w:szCs w:val="22"/>
        </w:rPr>
        <w:t xml:space="preserve">Baltimore, MD 21244-8016</w:t>
      </w:r>
    </w:p>
    <w:p>
      <w:pPr>
        <w:spacing w:after="120"/>
      </w:pPr>
      <w:r>
        <w:rPr>
          <w:rFonts w:ascii="Arial" w:cs="Arial" w:eastAsia="Arial" w:hAnsi="Arial"/>
          <w:b/>
          <w:bCs/>
          <w:sz w:val="22"/>
          <w:szCs w:val="22"/>
        </w:rPr>
        <w:t xml:space="preserve">Re: </w:t>
      </w:r>
      <w:r>
        <w:rPr>
          <w:rFonts w:ascii="Arial" w:cs="Arial" w:eastAsia="Arial" w:hAnsi="Arial"/>
          <w:sz w:val="22"/>
          <w:szCs w:val="22"/>
        </w:rPr>
        <w:t xml:space="preserve">Request for Information Related to Comprehensive Regulations to Uncover Suspicious Healthcare (CRUSH)</w:t>
      </w:r>
    </w:p>
    <w:p>
      <w:pPr>
        <w:spacing w:after="200"/>
      </w:pPr>
      <w:r>
        <w:rPr>
          <w:rFonts w:ascii="Arial" w:cs="Arial" w:eastAsia="Arial" w:hAnsi="Arial"/>
          <w:sz w:val="22"/>
          <w:szCs w:val="22"/>
        </w:rPr>
        <w:t xml:space="preserve">File Code: CMS-6098-NC</w:t>
      </w:r>
    </w:p>
    <w:p>
      <w:pPr>
        <w:spacing w:after="200"/>
      </w:pPr>
      <w:r>
        <w:rPr>
          <w:rFonts w:ascii="Arial" w:cs="Arial" w:eastAsia="Arial" w:hAnsi="Arial"/>
          <w:sz w:val="22"/>
          <w:szCs w:val="22"/>
        </w:rPr>
        <w:t xml:space="preserve">Dear Administrator Oz and CMS Program Integrity Team,</w:t>
      </w:r>
    </w:p>
    <w:p>
      <w:pPr>
        <w:spacing w:after="200"/>
      </w:pPr>
      <w:r>
        <w:rPr>
          <w:rFonts w:ascii="Arial" w:cs="Arial" w:eastAsia="Arial" w:hAnsi="Arial"/>
          <w:sz w:val="22"/>
          <w:szCs w:val="22"/>
        </w:rPr>
        <w:t xml:space="preserve">I am writing in response to the CRUSH Request for Information (91 FR 9803, February 27, 2026) to describe a working data platform that directly supports CMS’s fraud detection and program integrity objectives in skilled nursing facilities.</w:t>
      </w:r>
    </w:p>
    <w:p>
      <w:pPr>
        <w:spacing w:after="200"/>
      </w:pPr>
      <w:r>
        <w:rPr>
          <w:rFonts w:ascii="Arial" w:cs="Arial" w:eastAsia="Arial" w:hAnsi="Arial"/>
          <w:sz w:val="22"/>
          <w:szCs w:val="22"/>
        </w:rPr>
        <w:t xml:space="preserve">My name is Rob Benard. I am a board-certified Nurse Practitioner with dual certification in Psychiatric-Mental Health and Acute Care, currently practicing at Highland Hospital in Oakland, California. I am also the founder of DataLink Clinical LLC and the developer of The Oversight Report (oversightreports.com), a facility-level nursing home surveillance platform covering all 14,713 Medicare-certified nursing facilities in the United States.</w:t>
      </w:r>
    </w:p>
    <w:p>
      <w:pPr>
        <w:spacing w:after="200"/>
      </w:pPr>
      <w:r>
        <w:rPr>
          <w:rFonts w:ascii="Arial" w:cs="Arial" w:eastAsia="Arial" w:hAnsi="Arial"/>
          <w:sz w:val="22"/>
          <w:szCs w:val="22"/>
        </w:rPr>
        <w:t xml:space="preserve">I built this platform because I saw—from the bedside—that publicly available nursing home quality data was fragmented, difficult to interpret, and increasingly incomplete. The recent removal of complaint investigation data from Care Compare in February 2026 further underscores the need for independent data infrastructure that preserves continuity of oversight information.</w:t>
      </w:r>
    </w:p>
    <w:p>
      <w:pPr>
        <w:pStyle w:val="Heading1"/>
      </w:pPr>
      <w:r>
        <w:t xml:space="preserve">1. Platform Capabilities</w:t>
      </w:r>
    </w:p>
    <w:p>
      <w:pPr>
        <w:spacing w:after="200"/>
      </w:pPr>
      <w:r>
        <w:rPr>
          <w:rFonts w:ascii="Arial" w:cs="Arial" w:eastAsia="Arial" w:hAnsi="Arial"/>
          <w:sz w:val="22"/>
          <w:szCs w:val="22"/>
        </w:rPr>
        <w:t xml:space="preserve">The Oversight Report aggregates, cross-references, and scores data from multiple CMS and federal sources to produce facility-level risk assessments. The platform currently integrates the following data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Health Deficiency Inspections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Standard and complaint-triggered citations, scope, severity, deficiency tags (F-tags), and correction timelines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Staffing (PBJ)</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RN, LPN, CNA, and total nursing hours per resident day; reported vs. expected staffing levels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Complaint Investigation Records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Complaint counts, investigation outcomes, substantiation rates, and temporal patterns (preserved from federal inspection records after Care Compare removal)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Penalties &amp; Fines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Civil monetary penalties, payment denials, and enforcement actions with amounts and dates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Ownership &amp;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Facility ownership chains, management company relationships, and operator-level performance patterns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Quality Measures (QRP)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Long-stay and short-stay quality indicators including antipsychotic drug use rates, fall rates, pressure ulcers, and restraint use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Five-Star Ratings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Overall, health inspection, staffing, and quality measure star ratings with historical trends</w:t>
            </w:r>
          </w:p>
        </w:tc>
      </w:tr>
    </w:tbl>
    <w:p>
      <w:pPr>
        <w:spacing w:after="100"/>
      </w:pPr>
    </w:p>
    <w:p>
      <w:pPr>
        <w:spacing w:after="200"/>
      </w:pPr>
      <w:r>
        <w:rPr>
          <w:rFonts w:ascii="Arial" w:cs="Arial" w:eastAsia="Arial" w:hAnsi="Arial"/>
          <w:sz w:val="22"/>
          <w:szCs w:val="22"/>
        </w:rPr>
        <w:t xml:space="preserve">These data streams are combined into a composite risk score for each facility, enabling identification of outliers and patterns that would not be visible in any single dataset.</w:t>
      </w:r>
    </w:p>
    <w:p>
      <w:pPr>
        <w:pStyle w:val="Heading1"/>
      </w:pPr>
      <w:r>
        <w:t xml:space="preserve">2. Relevance to CRUSH Objectives</w:t>
      </w:r>
    </w:p>
    <w:p>
      <w:pPr>
        <w:pStyle w:val="Heading2"/>
      </w:pPr>
      <w:r>
        <w:t xml:space="preserve">2a. Antipsychotic Quality Measure Gaming Detection</w:t>
      </w:r>
    </w:p>
    <w:p>
      <w:pPr>
        <w:spacing w:after="200"/>
      </w:pPr>
      <w:r>
        <w:rPr>
          <w:rFonts w:ascii="Arial" w:cs="Arial" w:eastAsia="Arial" w:hAnsi="Arial"/>
          <w:sz w:val="22"/>
          <w:szCs w:val="22"/>
        </w:rPr>
        <w:t xml:space="preserve">OIG has documented that some nursing facilities exploit the antipsychotic quality measure by assigning schizophrenia diagnoses to dementia patients, thereby excluding them from the measure’s denominator (OIG Work Plan SRS-E-26-006). This is a significant program integrity concern that CMS has identified as a priority area.</w:t>
      </w:r>
    </w:p>
    <w:p>
      <w:pPr>
        <w:spacing w:after="200"/>
      </w:pPr>
      <w:r>
        <w:rPr>
          <w:rFonts w:ascii="Arial" w:cs="Arial" w:eastAsia="Arial" w:hAnsi="Arial"/>
          <w:sz w:val="22"/>
          <w:szCs w:val="22"/>
        </w:rPr>
        <w:t xml:space="preserve">The Oversight Report can identify facilities exhibiting patterns consistent with this gaming behavior by cross-referencing multiple signals:</w:t>
      </w:r>
    </w:p>
    <w:p>
      <w:pPr>
        <w:pStyle w:val="ListParagraph"/>
        <w:numPr>
          <w:ilvl w:val="0"/>
          <w:numId w:val="2"/>
        </w:numPr>
        <w:spacing w:after="80"/>
      </w:pPr>
      <w:r>
        <w:rPr>
          <w:rFonts w:ascii="Arial" w:cs="Arial" w:eastAsia="Arial" w:hAnsi="Arial"/>
          <w:sz w:val="22"/>
          <w:szCs w:val="22"/>
        </w:rPr>
        <w:t xml:space="preserve">Elevated antipsychotic drug use rates relative to peer facilities</w:t>
      </w:r>
    </w:p>
    <w:p>
      <w:pPr>
        <w:pStyle w:val="ListParagraph"/>
        <w:numPr>
          <w:ilvl w:val="0"/>
          <w:numId w:val="2"/>
        </w:numPr>
        <w:spacing w:after="80"/>
      </w:pPr>
      <w:r>
        <w:rPr>
          <w:rFonts w:ascii="Arial" w:cs="Arial" w:eastAsia="Arial" w:hAnsi="Arial"/>
          <w:sz w:val="22"/>
          <w:szCs w:val="22"/>
        </w:rPr>
        <w:t xml:space="preserve">Disproportionate schizophrenia diagnosis rates inconsistent with facility population demographics</w:t>
      </w:r>
    </w:p>
    <w:p>
      <w:pPr>
        <w:pStyle w:val="ListParagraph"/>
        <w:numPr>
          <w:ilvl w:val="0"/>
          <w:numId w:val="2"/>
        </w:numPr>
        <w:spacing w:after="80"/>
      </w:pPr>
      <w:r>
        <w:rPr>
          <w:rFonts w:ascii="Arial" w:cs="Arial" w:eastAsia="Arial" w:hAnsi="Arial"/>
          <w:sz w:val="22"/>
          <w:szCs w:val="22"/>
        </w:rPr>
        <w:t xml:space="preserve">Concurrent staffing deficiencies (low RN and CNA hours per resident day)</w:t>
      </w:r>
    </w:p>
    <w:p>
      <w:pPr>
        <w:pStyle w:val="ListParagraph"/>
        <w:numPr>
          <w:ilvl w:val="0"/>
          <w:numId w:val="2"/>
        </w:numPr>
        <w:spacing w:after="80"/>
      </w:pPr>
      <w:r>
        <w:rPr>
          <w:rFonts w:ascii="Arial" w:cs="Arial" w:eastAsia="Arial" w:hAnsi="Arial"/>
          <w:sz w:val="22"/>
          <w:szCs w:val="22"/>
        </w:rPr>
        <w:t xml:space="preserve">History of psychotropic medication-related inspection citations</w:t>
      </w:r>
    </w:p>
    <w:p>
      <w:pPr>
        <w:pStyle w:val="ListParagraph"/>
        <w:numPr>
          <w:ilvl w:val="0"/>
          <w:numId w:val="2"/>
        </w:numPr>
        <w:spacing w:after="80"/>
      </w:pPr>
      <w:r>
        <w:rPr>
          <w:rFonts w:ascii="Arial" w:cs="Arial" w:eastAsia="Arial" w:hAnsi="Arial"/>
          <w:sz w:val="22"/>
          <w:szCs w:val="22"/>
        </w:rPr>
        <w:t xml:space="preserve">Complaint patterns involving medication management concerns</w:t>
      </w:r>
    </w:p>
    <w:p>
      <w:pPr>
        <w:spacing w:after="100"/>
      </w:pPr>
    </w:p>
    <w:p>
      <w:pPr>
        <w:spacing w:after="200"/>
      </w:pPr>
      <w:r>
        <w:rPr>
          <w:rFonts w:ascii="Arial" w:cs="Arial" w:eastAsia="Arial" w:hAnsi="Arial"/>
          <w:sz w:val="22"/>
          <w:szCs w:val="22"/>
        </w:rPr>
        <w:t xml:space="preserve">No single data point confirms gaming. But the convergence of these signals at a single facility creates a risk profile that warrants further investigation. The platform’s value is in identifying which facilities to examine first—a triage function that complements CMS’s claims-level analysis.</w:t>
      </w:r>
    </w:p>
    <w:p>
      <w:pPr>
        <w:pStyle w:val="Heading2"/>
      </w:pPr>
      <w:r>
        <w:t xml:space="preserve">2b. Staffing Integrity Verification</w:t>
      </w:r>
    </w:p>
    <w:p>
      <w:pPr>
        <w:spacing w:after="200"/>
      </w:pPr>
      <w:r>
        <w:rPr>
          <w:rFonts w:ascii="Arial" w:cs="Arial" w:eastAsia="Arial" w:hAnsi="Arial"/>
          <w:sz w:val="22"/>
          <w:szCs w:val="22"/>
        </w:rPr>
        <w:t xml:space="preserve">Facilities self-report staffing data through the Payroll-Based Journal (PBJ) system. The Oversight Report can flag discrepancies where reported staffing levels are inconsistent with inspection outcomes—for example, facilities reporting adequate staffing while repeatedly receiving citations for insufficient staff, delayed care, or call light response failures. These inconsistencies may indicate inaccurate PBJ reporting, which has direct implications for star ratings, reimbursement levels, and staffing mandate compliance.</w:t>
      </w:r>
    </w:p>
    <w:p>
      <w:pPr>
        <w:pStyle w:val="Heading2"/>
      </w:pPr>
      <w:r>
        <w:t xml:space="preserve">2c. Ownership Chain and Serial Operator Analysis</w:t>
      </w:r>
    </w:p>
    <w:p>
      <w:pPr>
        <w:spacing w:after="200"/>
      </w:pPr>
      <w:r>
        <w:rPr>
          <w:rFonts w:ascii="Arial" w:cs="Arial" w:eastAsia="Arial" w:hAnsi="Arial"/>
          <w:sz w:val="22"/>
          <w:szCs w:val="22"/>
        </w:rPr>
        <w:t xml:space="preserve">The platform tracks ownership and management relationships across all 14,713 facilities. This enables identification of operators who control multiple underperforming facilities, ownership transfers that may be designed to reset inspection histories, and related-party transaction patterns. Serial bad actors who cycle through ownership structures are a known challenge for CMS program integrity efforts; facility-level cross-referencing of ownership data with performance data can surface these patterns.</w:t>
      </w:r>
    </w:p>
    <w:p>
      <w:pPr>
        <w:pStyle w:val="Heading2"/>
      </w:pPr>
      <w:r>
        <w:t xml:space="preserve">2d. Complaint Pattern Preservation and Analysis</w:t>
      </w:r>
    </w:p>
    <w:p>
      <w:pPr>
        <w:spacing w:after="200"/>
      </w:pPr>
      <w:r>
        <w:rPr>
          <w:rFonts w:ascii="Arial" w:cs="Arial" w:eastAsia="Arial" w:hAnsi="Arial"/>
          <w:sz w:val="22"/>
          <w:szCs w:val="22"/>
        </w:rPr>
        <w:t xml:space="preserve">Following the removal of complaint investigation data from Care Compare in February 2026, The Oversight Report continues to maintain complaint-related metrics by reconstructing complaint counts from federal inspection records. Complaint patterns—including volume, substantiation rates, and temporal clustering—are important signals for identifying facilities where residents may be experiencing harm. This data continuity supports ongoing surveillance that would otherwise be disrupted.</w:t>
      </w:r>
    </w:p>
    <w:p>
      <w:pPr>
        <w:pStyle w:val="Heading1"/>
      </w:pPr>
      <w:r>
        <w:t xml:space="preserve">3. Clinical Perspective</w:t>
      </w:r>
    </w:p>
    <w:p>
      <w:pPr>
        <w:spacing w:after="200"/>
      </w:pPr>
      <w:r>
        <w:rPr>
          <w:rFonts w:ascii="Arial" w:cs="Arial" w:eastAsia="Arial" w:hAnsi="Arial"/>
          <w:sz w:val="22"/>
          <w:szCs w:val="22"/>
        </w:rPr>
        <w:t xml:space="preserve">As a practicing psychiatric NP, I bring clinical context to the data that is difficult to replicate with analytics alone. I understand why a schizophrenia diagnosis appears on a dementia patient’s chart—and I understand the prescribing patterns, staffing pressures, and documentation practices that drive these decisions at the facility level. This clinical perspective is embedded in the platform’s risk scoring methodology and is available to support CMS’s investigative and oversight functions.</w:t>
      </w:r>
    </w:p>
    <w:p>
      <w:pPr>
        <w:pStyle w:val="Heading1"/>
      </w:pPr>
      <w:r>
        <w:t xml:space="preserve">4. Proposed Engagement</w:t>
      </w:r>
    </w:p>
    <w:p>
      <w:pPr>
        <w:spacing w:after="200"/>
      </w:pPr>
      <w:r>
        <w:rPr>
          <w:rFonts w:ascii="Arial" w:cs="Arial" w:eastAsia="Arial" w:hAnsi="Arial"/>
          <w:sz w:val="22"/>
          <w:szCs w:val="22"/>
        </w:rPr>
        <w:t xml:space="preserve">DataLink Clinical LLC would welcome the opportunity to support CMS’s CRUSH initiative and broader program integrity mission through any of the following:</w:t>
      </w:r>
    </w:p>
    <w:p>
      <w:pPr>
        <w:pStyle w:val="ListParagraph"/>
        <w:numPr>
          <w:ilvl w:val="0"/>
          <w:numId w:val="3"/>
        </w:numPr>
        <w:spacing w:after="80"/>
      </w:pPr>
      <w:r>
        <w:rPr>
          <w:rFonts w:ascii="Arial" w:cs="Arial" w:eastAsia="Arial" w:hAnsi="Arial"/>
          <w:sz w:val="22"/>
          <w:szCs w:val="22"/>
        </w:rPr>
        <w:t xml:space="preserve">Data partnership or pilot program to validate the platform’s fraud signal detection capabilities against CMS enforcement outcomes</w:t>
      </w:r>
    </w:p>
    <w:p>
      <w:pPr>
        <w:pStyle w:val="ListParagraph"/>
        <w:numPr>
          <w:ilvl w:val="0"/>
          <w:numId w:val="3"/>
        </w:numPr>
        <w:spacing w:after="80"/>
      </w:pPr>
      <w:r>
        <w:rPr>
          <w:rFonts w:ascii="Arial" w:cs="Arial" w:eastAsia="Arial" w:hAnsi="Arial"/>
          <w:sz w:val="22"/>
          <w:szCs w:val="22"/>
        </w:rPr>
        <w:t xml:space="preserve">Technical demonstration of the platform for CMS program integrity staff, OIG, or Medicaid Fraud Control Units</w:t>
      </w:r>
    </w:p>
    <w:p>
      <w:pPr>
        <w:pStyle w:val="ListParagraph"/>
        <w:numPr>
          <w:ilvl w:val="0"/>
          <w:numId w:val="3"/>
        </w:numPr>
        <w:spacing w:after="80"/>
      </w:pPr>
      <w:r>
        <w:rPr>
          <w:rFonts w:ascii="Arial" w:cs="Arial" w:eastAsia="Arial" w:hAnsi="Arial"/>
          <w:sz w:val="22"/>
          <w:szCs w:val="22"/>
        </w:rPr>
        <w:t xml:space="preserve">Subject matter consultation on nursing home quality measure gaming, antipsychotic prescribing patterns, and staffing integrity</w:t>
      </w:r>
    </w:p>
    <w:p>
      <w:pPr>
        <w:pStyle w:val="ListParagraph"/>
        <w:numPr>
          <w:ilvl w:val="0"/>
          <w:numId w:val="3"/>
        </w:numPr>
        <w:spacing w:after="80"/>
      </w:pPr>
      <w:r>
        <w:rPr>
          <w:rFonts w:ascii="Arial" w:cs="Arial" w:eastAsia="Arial" w:hAnsi="Arial"/>
          <w:sz w:val="22"/>
          <w:szCs w:val="22"/>
        </w:rPr>
        <w:t xml:space="preserve">Participation in future Technical Expert Panels related to nursing home quality measures or program integrity</w:t>
      </w:r>
    </w:p>
    <w:p>
      <w:pPr>
        <w:spacing w:after="100"/>
      </w:pPr>
    </w:p>
    <w:p>
      <w:pPr>
        <w:spacing w:after="200"/>
      </w:pPr>
      <w:r>
        <w:rPr>
          <w:rFonts w:ascii="Arial" w:cs="Arial" w:eastAsia="Arial" w:hAnsi="Arial"/>
          <w:sz w:val="22"/>
          <w:szCs w:val="22"/>
        </w:rPr>
        <w:t xml:space="preserve">The platform is operational and publicly accessible at oversightreports.com. I am registered on SAM.gov and prepared to engage through any appropriate procurement or partnership mechanism.</w:t>
      </w:r>
    </w:p>
    <w:p>
      <w:pPr>
        <w:pStyle w:val="Heading1"/>
      </w:pPr>
      <w:r>
        <w:t xml:space="preserve">5. Conclusion</w:t>
      </w:r>
    </w:p>
    <w:p>
      <w:pPr>
        <w:spacing w:after="200"/>
      </w:pPr>
      <w:r>
        <w:rPr>
          <w:rFonts w:ascii="Arial" w:cs="Arial" w:eastAsia="Arial" w:hAnsi="Arial"/>
          <w:sz w:val="22"/>
          <w:szCs w:val="22"/>
        </w:rPr>
        <w:t xml:space="preserve">CMS’s CRUSH initiative represents a critical shift from reactive fraud recovery to proactive fraud detection. The Oversight Report provides a facility-level intelligence layer—built by a clinician, grounded in federal data, and already covering every Medicare-certified nursing facility in the country—that can support this mission. I respectfully submit this comment to introduce the platform and express my readiness to contribute.</w:t>
      </w:r>
    </w:p>
    <w:p>
      <w:pPr>
        <w:spacing w:after="60"/>
      </w:pPr>
      <w:r>
        <w:rPr>
          <w:rFonts w:ascii="Arial" w:cs="Arial" w:eastAsia="Arial" w:hAnsi="Arial"/>
          <w:sz w:val="22"/>
          <w:szCs w:val="22"/>
        </w:rPr>
        <w:t xml:space="preserve">Respectfully submitted,</w:t>
      </w:r>
    </w:p>
    <w:p>
      <w:pPr>
        <w:spacing w:after="200"/>
      </w:pPr>
    </w:p>
    <w:p>
      <w:pPr>
        <w:spacing w:after="60"/>
      </w:pPr>
      <w:r>
        <w:rPr>
          <w:rFonts w:ascii="Arial" w:cs="Arial" w:eastAsia="Arial" w:hAnsi="Arial"/>
          <w:b/>
          <w:bCs/>
          <w:sz w:val="22"/>
          <w:szCs w:val="22"/>
        </w:rPr>
        <w:t xml:space="preserve">Rob Benard, MSN, APRN, NP-C</w:t>
      </w:r>
    </w:p>
    <w:p>
      <w:pPr>
        <w:spacing w:after="60"/>
      </w:pPr>
      <w:r>
        <w:rPr>
          <w:rFonts w:ascii="Arial" w:cs="Arial" w:eastAsia="Arial" w:hAnsi="Arial"/>
          <w:sz w:val="22"/>
          <w:szCs w:val="22"/>
        </w:rPr>
        <w:t xml:space="preserve">Psychiatric-Mental Health &amp; Acute Care Nurse Practitioner</w:t>
      </w:r>
    </w:p>
    <w:p>
      <w:pPr>
        <w:spacing w:after="60"/>
      </w:pPr>
      <w:r>
        <w:rPr>
          <w:rFonts w:ascii="Arial" w:cs="Arial" w:eastAsia="Arial" w:hAnsi="Arial"/>
          <w:sz w:val="22"/>
          <w:szCs w:val="22"/>
        </w:rPr>
        <w:t xml:space="preserve">Founder, DataLink Clinical LLC</w:t>
      </w:r>
    </w:p>
    <w:p>
      <w:pPr>
        <w:spacing w:after="60"/>
      </w:pPr>
      <w:r>
        <w:rPr>
          <w:rFonts w:ascii="Arial" w:cs="Arial" w:eastAsia="Arial" w:hAnsi="Arial"/>
          <w:sz w:val="22"/>
          <w:szCs w:val="22"/>
        </w:rPr>
        <w:t xml:space="preserve">Developer, The Oversight Report</w:t>
      </w:r>
    </w:p>
    <w:p>
      <w:pPr>
        <w:spacing w:after="60"/>
      </w:pPr>
      <w:hyperlink w:history="1" r:id="rIdgbtgba7yiqq22x_okpnej">
        <w:r>
          <w:rPr>
            <w:rStyle w:val="Hyperlink"/>
            <w:rFonts w:ascii="Arial" w:cs="Arial" w:eastAsia="Arial" w:hAnsi="Arial"/>
            <w:sz w:val="22"/>
            <w:szCs w:val="22"/>
          </w:rPr>
          <w:t xml:space="preserve">oversightreports.com</w:t>
        </w:r>
      </w:hyperlink>
    </w:p>
    <w:p>
      <w:pPr>
        <w:spacing w:after="60"/>
      </w:pPr>
      <w:r>
        <w:rPr>
          <w:rFonts w:ascii="Arial" w:cs="Arial" w:eastAsia="Arial" w:hAnsi="Arial"/>
          <w:sz w:val="22"/>
          <w:szCs w:val="22"/>
        </w:rPr>
        <w:t xml:space="preserve">robertbenard312@gmail.com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CMS-6098-NC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btgba7yiqq22x_okpnej" Type="http://schemas.openxmlformats.org/officeDocument/2006/relationships/hyperlink" Target="https://oversightreports.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2026-03-06T04:25:52.083Z</dcterms:created>
  <dcterms:modified xsi:type="dcterms:W3CDTF">2026-03-06T04:25:52.083Z</dcterms:modified>
</cp:coreProperties>
</file>

<file path=docProps/custom.xml><?xml version="1.0" encoding="utf-8"?>
<Properties xmlns="http://schemas.openxmlformats.org/officeDocument/2006/custom-properties" xmlns:vt="http://schemas.openxmlformats.org/officeDocument/2006/docPropsVTypes"/>
</file>