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36"/>
          <w:szCs w:val="36"/>
        </w:rPr>
        <w:t xml:space="preserve">CMS CRUSH RFI (CMS-6098-NC)</w:t>
      </w:r>
    </w:p>
    <w:p>
      <w:pPr>
        <w:spacing w:after="100"/>
        <w:jc w:val="center"/>
      </w:pPr>
      <w:r>
        <w:rPr>
          <w:rFonts w:ascii="Arial" w:cs="Arial" w:eastAsia="Arial" w:hAnsi="Arial"/>
          <w:b/>
          <w:bCs/>
          <w:color w:val="2E75B6"/>
          <w:sz w:val="28"/>
          <w:szCs w:val="28"/>
        </w:rPr>
        <w:t xml:space="preserve">SMOKING GUN: SNF-DMEPOS Cross-Reference Analysis</w:t>
      </w:r>
    </w:p>
    <w:p>
      <w:pPr>
        <w:spacing w:after="400"/>
        <w:jc w:val="center"/>
      </w:pPr>
      <w:r>
        <w:rPr>
          <w:rFonts w:ascii="Arial" w:cs="Arial" w:eastAsia="Arial" w:hAnsi="Arial"/>
          <w:color w:val="666666"/>
          <w:sz w:val="18"/>
          <w:szCs w:val="18"/>
        </w:rPr>
        <w:t xml:space="preserve">Prepared: March 7, 2026 | Deadline: March 30, 2026 | DataLink Clinical LLC / OversightReports.com</w:t>
      </w:r>
    </w:p>
    <w:p>
      <w:pPr>
        <w:pStyle w:val="Heading1"/>
      </w:pPr>
      <w:r>
        <w:t xml:space="preserve">Executive Summary</w:t>
      </w:r>
    </w:p>
    <w:p>
      <w:pPr>
        <w:spacing w:after="200"/>
      </w:pPr>
      <w:r>
        <w:rPr>
          <w:sz w:val="22"/>
          <w:szCs w:val="22"/>
        </w:rPr>
        <w:t xml:space="preserve">This analysis demonstrates the critical silo gap between CMS’s nursing home oversight data and DMEPOS supplier fraud detection. Using exclusively public data (NPPES NPI Registry, CMS PBJ Staffing, Nursing Home Ownership, OIG LEIE), we cross-referenced 2.05 million DMEPOS-related NPIs against 157,839 nursing home ownership records and identified </w:t>
      </w:r>
      <w:r>
        <w:rPr>
          <w:b/>
          <w:bCs/>
          <w:sz w:val="22"/>
          <w:szCs w:val="22"/>
        </w:rPr>
        <w:t xml:space="preserve">446,905 matches</w:t>
      </w:r>
      <w:r>
        <w:rPr>
          <w:sz w:val="22"/>
          <w:szCs w:val="22"/>
        </w:rPr>
        <w:t xml:space="preserve"> connecting 82,097 unique DMEPOS NPIs to 12,217 nursing homes (83% of all Medicare-certified SNFs).</w:t>
      </w:r>
    </w:p>
    <w:p>
      <w:pPr>
        <w:spacing w:after="200"/>
      </w:pPr>
      <w:r>
        <w:rPr>
          <w:sz w:val="22"/>
          <w:szCs w:val="22"/>
        </w:rPr>
        <w:t xml:space="preserve">The top finding is a network of 8 DMEPOS supplier NPIs and 11 nursing homes across 4 chain brands (Aperion Care, Arcadia Care, Elevate Care, Goldwater Care) — all connected through two individuals: </w:t>
      </w:r>
      <w:r>
        <w:rPr>
          <w:b/>
          <w:bCs/>
          <w:sz w:val="22"/>
          <w:szCs w:val="22"/>
        </w:rPr>
        <w:t xml:space="preserve">Yosef Meystel</w:t>
      </w:r>
      <w:r>
        <w:rPr>
          <w:sz w:val="22"/>
          <w:szCs w:val="22"/>
        </w:rPr>
        <w:t xml:space="preserve"> and </w:t>
      </w:r>
      <w:r>
        <w:rPr>
          <w:b/>
          <w:bCs/>
          <w:sz w:val="22"/>
          <w:szCs w:val="22"/>
        </w:rPr>
        <w:t xml:space="preserve">Jennifer Spector</w:t>
      </w:r>
      <w:r>
        <w:rPr>
          <w:sz w:val="22"/>
          <w:szCs w:val="22"/>
        </w:rPr>
        <w:t xml:space="preserve">. Every connected nursing home is rated 1-star with RN staffing as low as 0.053 hours per resident per day. Combined fines: $1,835,275.</w:t>
      </w:r>
    </w:p>
    <w:p>
      <w:pPr>
        <w:pStyle w:val="Heading1"/>
      </w:pPr>
      <w:r>
        <w:t xml:space="preserve">Pipeline Results at a Glance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500"/>
        <w:gridCol w:w="4340"/>
      </w:tblGrid>
      <w:tr>
        <w:tc>
          <w:tcPr>
            <w:tcW w:type="dxa" w:w="5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4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Total NPIs analyzed</w:t>
            </w:r>
          </w:p>
        </w:tc>
        <w:tc>
          <w:tcPr>
            <w:tcW w:type="dxa" w:w="4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2,056,472</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SNF ownership records</w:t>
            </w:r>
          </w:p>
        </w:tc>
        <w:tc>
          <w:tcPr>
            <w:tcW w:type="dxa" w:w="4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157,839</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Total SNF-DMEPOS matches</w:t>
            </w:r>
          </w:p>
        </w:tc>
        <w:tc>
          <w:tcPr>
            <w:tcW w:type="dxa" w:w="434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446,905</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Unique DMEPOS NPIs matched</w:t>
            </w:r>
          </w:p>
        </w:tc>
        <w:tc>
          <w:tcPr>
            <w:tcW w:type="dxa" w:w="4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82,097</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Unique SNFs matched (of 14,713)</w:t>
            </w:r>
          </w:p>
        </w:tc>
        <w:tc>
          <w:tcPr>
            <w:tcW w:type="dxa" w:w="4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12,217 (83%)</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High-suspicion matches (score &gt;50)</w:t>
            </w:r>
          </w:p>
        </w:tc>
        <w:tc>
          <w:tcPr>
            <w:tcW w:type="dxa" w:w="434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336,938</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Low-staffing SNFs with DMEPOS ties (&lt;0.5 RN HPRD)</w:t>
            </w:r>
          </w:p>
        </w:tc>
        <w:tc>
          <w:tcPr>
            <w:tcW w:type="dxa" w:w="434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8,465</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Low-staffing SNFs (&lt;0.3 RN HPRD)</w:t>
            </w:r>
          </w:p>
        </w:tc>
        <w:tc>
          <w:tcPr>
            <w:tcW w:type="dxa" w:w="434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4,642</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DMEPOS suppliers (core taxonomy)</w:t>
            </w:r>
          </w:p>
        </w:tc>
        <w:tc>
          <w:tcPr>
            <w:tcW w:type="dxa" w:w="4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25,234</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DMEPOS suppliers (adjacent taxonomy)</w:t>
            </w:r>
          </w:p>
        </w:tc>
        <w:tc>
          <w:tcPr>
            <w:tcW w:type="dxa" w:w="4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26,542</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LEIE hits (NPI-matched)</w:t>
            </w:r>
          </w:p>
        </w:tc>
        <w:tc>
          <w:tcPr>
            <w:tcW w:type="dxa" w:w="4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1,670</w:t>
            </w:r>
          </w:p>
        </w:tc>
      </w:tr>
      <w:tr>
        <w:tc>
          <w:tcPr>
            <w:tcW w:type="dxa" w:w="5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LEIE hits (name-matched)</w:t>
            </w:r>
          </w:p>
        </w:tc>
        <w:tc>
          <w:tcPr>
            <w:tcW w:type="dxa" w:w="43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76,389</w:t>
            </w:r>
          </w:p>
        </w:tc>
      </w:tr>
    </w:tbl>
    <w:p>
      <w:r>
        <w:br w:type="page"/>
      </w:r>
    </w:p>
    <w:p>
      <w:pPr>
        <w:pStyle w:val="Heading1"/>
      </w:pPr>
      <w:r>
        <w:t xml:space="preserve">Primary Case Study: The Aperion/Arcadia/Elevate/Goldwater Network</w:t>
      </w:r>
    </w:p>
    <w:p>
      <w:pPr>
        <w:spacing w:after="200"/>
      </w:pPr>
      <w:r>
        <w:rPr>
          <w:sz w:val="22"/>
          <w:szCs w:val="22"/>
        </w:rPr>
        <w:t xml:space="preserve">Two individuals — Yosef Meystel and Jennifer Spector — appear as authorized officials on 8 separate DMEPOS supplier NPIs (all taxonomy 332B00000X: DME &amp; Medical Supplies). These same individuals appear in CMS ownership records for 11 nursing homes across 4 related chain brands. The DMEPOS entities carry nursing facility names (e.g., “North Church Nursing &amp; Rehab LLC”) but are registered with DMEPOS supplier taxonomy codes — the classic self-referral structure.</w:t>
      </w:r>
    </w:p>
    <w:p>
      <w:pPr>
        <w:pStyle w:val="Heading2"/>
      </w:pPr>
      <w:r>
        <w:t xml:space="preserve">DMEPOS Supplier NPIs (All Taxonomy 332B00000X)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640"/>
      </w:tblGrid>
      <w:tr>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NPI</w:t>
            </w:r>
          </w:p>
        </w:tc>
        <w:tc>
          <w:tcPr>
            <w:tcW w:type="dxa" w:w="3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Entity Name</w:t>
            </w:r>
          </w:p>
        </w:tc>
        <w:tc>
          <w:tcPr>
            <w:tcW w:type="dxa" w:w="46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Address</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1700503752</w:t>
            </w:r>
          </w:p>
        </w:tc>
        <w:tc>
          <w:tcPr>
            <w:tcW w:type="dxa" w:w="3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Elevate Care Windsor Park LLC</w:t>
            </w:r>
          </w:p>
        </w:tc>
        <w:tc>
          <w:tcPr>
            <w:tcW w:type="dxa" w:w="46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2649 E 75th St, Chicago IL</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1669788873</w:t>
            </w:r>
          </w:p>
        </w:tc>
        <w:tc>
          <w:tcPr>
            <w:tcW w:type="dxa" w:w="3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North Church Nursing &amp; Rehab LLC</w:t>
            </w:r>
          </w:p>
        </w:tc>
        <w:tc>
          <w:tcPr>
            <w:tcW w:type="dxa" w:w="46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1021 N Church St, Jacksonville IL</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1457123119</w:t>
            </w:r>
          </w:p>
        </w:tc>
        <w:tc>
          <w:tcPr>
            <w:tcW w:type="dxa" w:w="3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Aperion Care Fairmont LLC</w:t>
            </w:r>
          </w:p>
        </w:tc>
        <w:tc>
          <w:tcPr>
            <w:tcW w:type="dxa" w:w="46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5061 N Pulaski Rd, Chicago IL</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1427517051</w:t>
            </w:r>
          </w:p>
        </w:tc>
        <w:tc>
          <w:tcPr>
            <w:tcW w:type="dxa" w:w="3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Aperion Care Galesburg North</w:t>
            </w:r>
          </w:p>
        </w:tc>
        <w:tc>
          <w:tcPr>
            <w:tcW w:type="dxa" w:w="46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1250 W Carl Sandburg Dr, Galesburg IL</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1891337705</w:t>
            </w:r>
          </w:p>
        </w:tc>
        <w:tc>
          <w:tcPr>
            <w:tcW w:type="dxa" w:w="3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Aperion Care Galesburg North</w:t>
            </w:r>
          </w:p>
        </w:tc>
        <w:tc>
          <w:tcPr>
            <w:tcW w:type="dxa" w:w="46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1250 W Carl Sandburg Dr, Galesburg IL</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1528600434</w:t>
            </w:r>
          </w:p>
        </w:tc>
        <w:tc>
          <w:tcPr>
            <w:tcW w:type="dxa" w:w="3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North Church Nursing &amp; Rehab LLC</w:t>
            </w:r>
          </w:p>
        </w:tc>
        <w:tc>
          <w:tcPr>
            <w:tcW w:type="dxa" w:w="46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1021 N Church St, Jacksonville IL</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1902316250</w:t>
            </w:r>
          </w:p>
        </w:tc>
        <w:tc>
          <w:tcPr>
            <w:tcW w:type="dxa" w:w="3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Aperion Care Morton Villa LLC</w:t>
            </w:r>
          </w:p>
        </w:tc>
        <w:tc>
          <w:tcPr>
            <w:tcW w:type="dxa" w:w="46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190 E Queenwood Rd, Morton IL</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1356976260</w:t>
            </w:r>
          </w:p>
        </w:tc>
        <w:tc>
          <w:tcPr>
            <w:tcW w:type="dxa" w:w="3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Aperion Care West Ridge LLC</w:t>
            </w:r>
          </w:p>
        </w:tc>
        <w:tc>
          <w:tcPr>
            <w:tcW w:type="dxa" w:w="46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6450 N Ridge Blvd, Chicago IL</w:t>
            </w:r>
          </w:p>
        </w:tc>
      </w:tr>
    </w:tbl>
    <w:p>
      <w:pPr>
        <w:spacing w:before="300"/>
      </w:pPr>
    </w:p>
    <w:p>
      <w:pPr>
        <w:pStyle w:val="Heading2"/>
      </w:pPr>
      <w:r>
        <w:t xml:space="preserve">Connected Nursing Facilities (Sorted by RN Staffing)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400"/>
        <w:gridCol w:w="800"/>
        <w:gridCol w:w="1200"/>
        <w:gridCol w:w="1100"/>
        <w:gridCol w:w="1740"/>
      </w:tblGrid>
      <w:tr>
        <w:tc>
          <w:tcPr>
            <w:tcW w:type="dxa" w:w="9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CCN</w:t>
            </w:r>
          </w:p>
        </w:tc>
        <w:tc>
          <w:tcPr>
            <w:tcW w:type="dxa" w:w="27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Facility Name</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Chain</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Stars</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RN HPRD</w:t>
            </w:r>
          </w:p>
        </w:tc>
        <w:tc>
          <w:tcPr>
            <w:tcW w:type="dxa" w:w="11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Fines</w:t>
            </w:r>
          </w:p>
        </w:tc>
        <w:tc>
          <w:tcPr>
            <w:tcW w:type="dxa" w:w="17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Flag</w:t>
            </w:r>
          </w:p>
        </w:tc>
      </w:tr>
      <w:tr>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145774</w:t>
            </w:r>
          </w:p>
        </w:tc>
        <w:tc>
          <w:tcPr>
            <w:tcW w:type="dxa" w:w="2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Arcadia Care Havana</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ARCADIA</w:t>
            </w:r>
          </w:p>
        </w:tc>
        <w:tc>
          <w:tcPr>
            <w:tcW w:type="dxa" w:w="8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1★</w:t>
            </w:r>
          </w:p>
        </w:tc>
        <w:tc>
          <w:tcPr>
            <w:tcW w:type="dxa" w:w="12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0.053</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$213,139</w:t>
            </w:r>
          </w:p>
        </w:tc>
        <w:tc>
          <w:tcPr>
            <w:tcW w:type="dxa" w:w="17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
            </w:r>
          </w:p>
        </w:tc>
      </w:tr>
      <w:tr>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155254</w:t>
            </w:r>
          </w:p>
        </w:tc>
        <w:tc>
          <w:tcPr>
            <w:tcW w:type="dxa" w:w="2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Aperion Care Greenfield</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APERION</w:t>
            </w:r>
          </w:p>
        </w:tc>
        <w:tc>
          <w:tcPr>
            <w:tcW w:type="dxa" w:w="8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1★</w:t>
            </w:r>
          </w:p>
        </w:tc>
        <w:tc>
          <w:tcPr>
            <w:tcW w:type="dxa" w:w="12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0.119</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$0</w:t>
            </w:r>
          </w:p>
        </w:tc>
        <w:tc>
          <w:tcPr>
            <w:tcW w:type="dxa" w:w="17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
            </w:r>
          </w:p>
        </w:tc>
      </w:tr>
      <w:tr>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145244</w:t>
            </w:r>
          </w:p>
        </w:tc>
        <w:tc>
          <w:tcPr>
            <w:tcW w:type="dxa" w:w="2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Aperion Care Lakeshore</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APERION</w:t>
            </w:r>
          </w:p>
        </w:tc>
        <w:tc>
          <w:tcPr>
            <w:tcW w:type="dxa" w:w="8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1★</w:t>
            </w:r>
          </w:p>
        </w:tc>
        <w:tc>
          <w:tcPr>
            <w:tcW w:type="dxa" w:w="12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0.127</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$153,559</w:t>
            </w:r>
          </w:p>
        </w:tc>
        <w:tc>
          <w:tcPr>
            <w:tcW w:type="dxa" w:w="17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
            </w:r>
          </w:p>
        </w:tc>
      </w:tr>
      <w:tr>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145248</w:t>
            </w:r>
          </w:p>
        </w:tc>
        <w:tc>
          <w:tcPr>
            <w:tcW w:type="dxa" w:w="2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Arcadia Care Morton</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APERION</w:t>
            </w:r>
          </w:p>
        </w:tc>
        <w:tc>
          <w:tcPr>
            <w:tcW w:type="dxa" w:w="8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1★</w:t>
            </w:r>
          </w:p>
        </w:tc>
        <w:tc>
          <w:tcPr>
            <w:tcW w:type="dxa" w:w="12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0.141</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$181,946</w:t>
            </w:r>
          </w:p>
        </w:tc>
        <w:tc>
          <w:tcPr>
            <w:tcW w:type="dxa" w:w="17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
            </w:r>
          </w:p>
        </w:tc>
      </w:tr>
      <w:tr>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145970</w:t>
            </w:r>
          </w:p>
        </w:tc>
        <w:tc>
          <w:tcPr>
            <w:tcW w:type="dxa" w:w="2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Elevate Care Windsor Park</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ELEVATE</w:t>
            </w:r>
          </w:p>
        </w:tc>
        <w:tc>
          <w:tcPr>
            <w:tcW w:type="dxa" w:w="8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1★</w:t>
            </w:r>
          </w:p>
        </w:tc>
        <w:tc>
          <w:tcPr>
            <w:tcW w:type="dxa" w:w="12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0.169</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$70,170</w:t>
            </w:r>
          </w:p>
        </w:tc>
        <w:tc>
          <w:tcPr>
            <w:tcW w:type="dxa" w:w="17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
            </w:r>
          </w:p>
        </w:tc>
      </w:tr>
      <w:tr>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145160</w:t>
            </w:r>
          </w:p>
        </w:tc>
        <w:tc>
          <w:tcPr>
            <w:tcW w:type="dxa" w:w="2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Arcadia Care On The Hill</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ARCADIA</w:t>
            </w:r>
          </w:p>
        </w:tc>
        <w:tc>
          <w:tcPr>
            <w:tcW w:type="dxa" w:w="8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1★</w:t>
            </w:r>
          </w:p>
        </w:tc>
        <w:tc>
          <w:tcPr>
            <w:tcW w:type="dxa" w:w="12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0.193</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$57,030</w:t>
            </w:r>
          </w:p>
        </w:tc>
        <w:tc>
          <w:tcPr>
            <w:tcW w:type="dxa" w:w="17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
            </w:r>
          </w:p>
        </w:tc>
      </w:tr>
      <w:tr>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145947</w:t>
            </w:r>
          </w:p>
        </w:tc>
        <w:tc>
          <w:tcPr>
            <w:tcW w:type="dxa" w:w="2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Aperion Care Midlothian</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APERION</w:t>
            </w:r>
          </w:p>
        </w:tc>
        <w:tc>
          <w:tcPr>
            <w:tcW w:type="dxa" w:w="8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2★</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0.284</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$19,565</w:t>
            </w:r>
          </w:p>
        </w:tc>
        <w:tc>
          <w:tcPr>
            <w:tcW w:type="dxa" w:w="17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
            </w:r>
          </w:p>
        </w:tc>
      </w:tr>
      <w:tr>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155532</w:t>
            </w:r>
          </w:p>
        </w:tc>
        <w:tc>
          <w:tcPr>
            <w:tcW w:type="dxa" w:w="2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Aperion Care Monroe</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APERION</w:t>
            </w:r>
          </w:p>
        </w:tc>
        <w:tc>
          <w:tcPr>
            <w:tcW w:type="dxa" w:w="8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1★</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0.350</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$0</w:t>
            </w:r>
          </w:p>
        </w:tc>
        <w:tc>
          <w:tcPr>
            <w:tcW w:type="dxa" w:w="17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
            </w:r>
          </w:p>
        </w:tc>
      </w:tr>
      <w:tr>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145886</w:t>
            </w:r>
          </w:p>
        </w:tc>
        <w:tc>
          <w:tcPr>
            <w:tcW w:type="dxa" w:w="2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Arcadia Care Aledo</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ARCADIA</w:t>
            </w:r>
          </w:p>
        </w:tc>
        <w:tc>
          <w:tcPr>
            <w:tcW w:type="dxa" w:w="8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1★</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0.441</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$97,562</w:t>
            </w:r>
          </w:p>
        </w:tc>
        <w:tc>
          <w:tcPr>
            <w:tcW w:type="dxa" w:w="17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
            </w:r>
          </w:p>
        </w:tc>
      </w:tr>
      <w:tr>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145911</w:t>
            </w:r>
          </w:p>
        </w:tc>
        <w:tc>
          <w:tcPr>
            <w:tcW w:type="dxa" w:w="2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Goldwater Care Gibson City</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GOLDWATER</w:t>
            </w:r>
          </w:p>
        </w:tc>
        <w:tc>
          <w:tcPr>
            <w:tcW w:type="dxa" w:w="8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1★</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0.447</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$84,595</w:t>
            </w:r>
          </w:p>
        </w:tc>
        <w:tc>
          <w:tcPr>
            <w:tcW w:type="dxa" w:w="17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
            </w:r>
          </w:p>
        </w:tc>
      </w:tr>
      <w:tr>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145295</w:t>
            </w:r>
          </w:p>
        </w:tc>
        <w:tc>
          <w:tcPr>
            <w:tcW w:type="dxa" w:w="2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Goldwater Care Marseilles</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GOLDWATER</w:t>
            </w:r>
          </w:p>
        </w:tc>
        <w:tc>
          <w:tcPr>
            <w:tcW w:type="dxa" w:w="8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1★</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0.451</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$296,521</w:t>
            </w:r>
          </w:p>
        </w:tc>
        <w:tc>
          <w:tcPr>
            <w:tcW w:type="dxa" w:w="17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
            </w:r>
          </w:p>
        </w:tc>
      </w:tr>
      <w:tr>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145316</w:t>
            </w:r>
          </w:p>
        </w:tc>
        <w:tc>
          <w:tcPr>
            <w:tcW w:type="dxa" w:w="2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Aperion Care Wilmington</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APERION</w:t>
            </w:r>
          </w:p>
        </w:tc>
        <w:tc>
          <w:tcPr>
            <w:tcW w:type="dxa" w:w="8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1★</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0.452</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$307,869</w:t>
            </w:r>
          </w:p>
        </w:tc>
        <w:tc>
          <w:tcPr>
            <w:tcW w:type="dxa" w:w="17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
            </w:r>
          </w:p>
        </w:tc>
      </w:tr>
      <w:tr>
        <w:tc>
          <w:tcPr>
            <w:tcW w:type="dxa" w:w="9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145969</w:t>
            </w:r>
          </w:p>
        </w:tc>
        <w:tc>
          <w:tcPr>
            <w:tcW w:type="dxa" w:w="27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Aperion Care Forest Park</w:t>
            </w:r>
          </w:p>
        </w:tc>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APERION</w:t>
            </w:r>
          </w:p>
        </w:tc>
        <w:tc>
          <w:tcPr>
            <w:tcW w:type="dxa" w:w="8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1★</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0.475</w:t>
            </w:r>
          </w:p>
        </w:tc>
        <w:tc>
          <w:tcPr>
            <w:tcW w:type="dxa" w:w="11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$664,020</w:t>
            </w:r>
          </w:p>
        </w:tc>
        <w:tc>
          <w:tcPr>
            <w:tcW w:type="dxa" w:w="1740"/>
            <w:tcBorders>
              <w:top w:val="single" w:color="CCCCCC" w:sz="1"/>
              <w:left w:val="single" w:color="CCCCCC" w:sz="1"/>
              <w:bottom w:val="single" w:color="CCCCCC" w:sz="1"/>
              <w:right w:val="single" w:color="CCCCCC" w:sz="1"/>
            </w:tcBorders>
            <w:shd w:fill="FFF2CC" w:val="clear"/>
            <w:tcMar>
              <w:top w:type="dxa" w:w="40"/>
              <w:left w:type="dxa" w:w="100"/>
              <w:bottom w:type="dxa" w:w="40"/>
              <w:right w:type="dxa" w:w="100"/>
            </w:tcMar>
          </w:tcPr>
          <w:p>
            <w:r>
              <w:rPr>
                <w:rFonts w:ascii="Arial" w:cs="Arial" w:eastAsia="Arial" w:hAnsi="Arial"/>
                <w:sz w:val="17"/>
                <w:szCs w:val="17"/>
              </w:rPr>
              <w:t xml:space="preserve">SFF Candidate</w:t>
            </w:r>
          </w:p>
        </w:tc>
      </w:tr>
    </w:tbl>
    <w:p>
      <w:pPr>
        <w:spacing w:after="200" w:before="200"/>
      </w:pPr>
      <w:r>
        <w:rPr>
          <w:b/>
          <w:bCs/>
          <w:color w:val="C62828"/>
          <w:sz w:val="22"/>
          <w:szCs w:val="22"/>
        </w:rPr>
        <w:t xml:space="preserve">Total fines across network: $1,835,275</w:t>
      </w:r>
    </w:p>
    <w:p>
      <w:r>
        <w:br w:type="page"/>
      </w:r>
    </w:p>
    <w:p>
      <w:pPr>
        <w:pStyle w:val="Heading1"/>
      </w:pPr>
      <w:r>
        <w:t xml:space="preserve">Clinical Plausibility Analysis</w:t>
      </w:r>
    </w:p>
    <w:p>
      <w:pPr>
        <w:spacing w:after="200"/>
      </w:pPr>
      <w:r>
        <w:rPr>
          <w:sz w:val="22"/>
          <w:szCs w:val="22"/>
        </w:rPr>
        <w:t xml:space="preserve">The clinical argument is the key differentiator in this analysis. CMS’s current algorithms can flag billing outliers, but they cannot assess whether a facility has the nursing staff to perform the clinical services that DMEPOS orders require.</w:t>
      </w:r>
    </w:p>
    <w:p>
      <w:pPr>
        <w:pStyle w:val="Heading3"/>
      </w:pPr>
      <w:r>
        <w:t xml:space="preserve">Surgical Dressings (HCPCS A6010–A6461): 57.6% Improper Payment Rate</w:t>
      </w:r>
    </w:p>
    <w:p>
      <w:pPr>
        <w:spacing w:after="200"/>
      </w:pPr>
      <w:r>
        <w:rPr>
          <w:sz w:val="22"/>
          <w:szCs w:val="22"/>
        </w:rPr>
        <w:t xml:space="preserve">A valid surgical dressing DMEPOS order requires: (1) wound assessment by a qualified clinician (RN minimum), (2) treatment plan documentation, (3) ongoing wound monitoring and dressing change orders, and (4) progress notes supporting medical necessity. Each of these requires hands-on RN time.</w:t>
      </w:r>
    </w:p>
    <w:p>
      <w:pPr>
        <w:pStyle w:val="Heading3"/>
      </w:pPr>
      <w:r>
        <w:t xml:space="preserve">Staffing Reality in This Network</w:t>
      </w:r>
    </w:p>
    <w:p>
      <w:pPr>
        <w:pStyle w:val="ListParagraph"/>
        <w:numPr>
          <w:ilvl w:val="0"/>
          <w:numId w:val="2"/>
        </w:numPr>
        <w:spacing w:after="120"/>
      </w:pPr>
      <w:r>
        <w:rPr>
          <w:sz w:val="22"/>
          <w:szCs w:val="22"/>
        </w:rPr>
        <w:t xml:space="preserve">Arcadia Care Havana: 0.053 RN HPRD = ~3 minutes of RN time per resident per day. An RN cannot assess a wound in 3 minutes, let alone document and create a treatment plan.</w:t>
      </w:r>
    </w:p>
    <w:p>
      <w:pPr>
        <w:pStyle w:val="ListParagraph"/>
        <w:numPr>
          <w:ilvl w:val="0"/>
          <w:numId w:val="2"/>
        </w:numPr>
        <w:spacing w:after="120"/>
      </w:pPr>
      <w:r>
        <w:rPr>
          <w:sz w:val="22"/>
          <w:szCs w:val="22"/>
        </w:rPr>
        <w:t xml:space="preserve">Aperion Care Greenfield: 0.119 RN HPRD = ~7 minutes per resident per day. Insufficient for even basic medication administration, much less wound care assessment.</w:t>
      </w:r>
    </w:p>
    <w:p>
      <w:pPr>
        <w:pStyle w:val="ListParagraph"/>
        <w:numPr>
          <w:ilvl w:val="0"/>
          <w:numId w:val="2"/>
        </w:numPr>
        <w:spacing w:after="120"/>
      </w:pPr>
      <w:r>
        <w:rPr>
          <w:sz w:val="22"/>
          <w:szCs w:val="22"/>
        </w:rPr>
        <w:t xml:space="preserve">All 11 facilities in this network have RN staffing below 0.5 hours/resident/day. CMS’s own PBJ data confirms these facilities cannot sustain the clinical activity that would justify DMEPOS surgical dressing orders.</w:t>
      </w:r>
    </w:p>
    <w:p>
      <w:pPr>
        <w:pStyle w:val="ListParagraph"/>
        <w:numPr>
          <w:ilvl w:val="0"/>
          <w:numId w:val="2"/>
        </w:numPr>
        <w:spacing w:after="200"/>
      </w:pPr>
      <w:r>
        <w:rPr>
          <w:b/>
          <w:bCs/>
          <w:sz w:val="22"/>
          <w:szCs w:val="22"/>
        </w:rPr>
        <w:t xml:space="preserve">When the nursing home owner IS the DMEPOS supplier (same authorized official), and the facility lacks the staff to perform wound care, the billing pattern constitutes a self-referral scheme.</w:t>
      </w:r>
    </w:p>
    <w:p>
      <w:pPr>
        <w:pStyle w:val="Heading1"/>
      </w:pPr>
      <w:r>
        <w:t xml:space="preserve">Matches by State (Top 15)</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32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32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State</w:t>
            </w:r>
          </w:p>
        </w:tc>
      </w:tr>
      <w:tr>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NY: 9,357</w:t>
            </w:r>
          </w:p>
        </w:tc>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OH: 2,832</w:t>
            </w:r>
          </w:p>
        </w:tc>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MI: 1,962</w:t>
            </w:r>
          </w:p>
        </w:tc>
      </w:tr>
      <w:tr>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CA: 7,294</w:t>
            </w:r>
          </w:p>
        </w:tc>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NC: 2,802</w:t>
            </w:r>
          </w:p>
        </w:tc>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VA: 1,900</w:t>
            </w:r>
          </w:p>
        </w:tc>
      </w:tr>
      <w:tr>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TX: 5,521</w:t>
            </w:r>
          </w:p>
        </w:tc>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WI: 2,387</w:t>
            </w:r>
          </w:p>
        </w:tc>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KY: 1,885</w:t>
            </w:r>
          </w:p>
        </w:tc>
      </w:tr>
      <w:tr>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PA: 4,916</w:t>
            </w:r>
          </w:p>
        </w:tc>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MN: 2,375</w:t>
            </w:r>
          </w:p>
        </w:tc>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
            </w:r>
          </w:p>
        </w:tc>
      </w:tr>
      <w:tr>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FL: 3,993</w:t>
            </w:r>
          </w:p>
        </w:tc>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IL: 2,921</w:t>
            </w:r>
          </w:p>
        </w:tc>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
            </w:r>
          </w:p>
        </w:tc>
      </w:tr>
      <w:tr>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MD: 3,356</w:t>
            </w:r>
          </w:p>
        </w:tc>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
            </w:r>
          </w:p>
        </w:tc>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
            </w:r>
          </w:p>
        </w:tc>
      </w:tr>
      <w:tr>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NJ: 3,336</w:t>
            </w:r>
          </w:p>
        </w:tc>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
            </w:r>
          </w:p>
        </w:tc>
        <w:tc>
          <w:tcPr>
            <w:tcW w:type="dxa" w:w="328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
            </w:r>
          </w:p>
        </w:tc>
      </w:tr>
    </w:tbl>
    <w:p>
      <w:r>
        <w:br w:type="page"/>
      </w:r>
    </w:p>
    <w:p>
      <w:pPr>
        <w:pStyle w:val="Heading1"/>
      </w:pPr>
      <w:r>
        <w:t xml:space="preserve">Secondary Networks (For Further Investigation)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3040"/>
        <w:gridCol w:w="320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Person</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Hits</w:t>
            </w:r>
          </w:p>
        </w:tc>
        <w:tc>
          <w:tcPr>
            <w:tcW w:type="dxa" w:w="30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DMEPOS Entity</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SNF Connection</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Bienstock, Judah</w:t>
            </w:r>
          </w:p>
        </w:tc>
        <w:tc>
          <w:tcPr>
            <w:tcW w:type="dxa" w:w="8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140</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7</w:t>
            </w:r>
          </w:p>
        </w:tc>
        <w:tc>
          <w:tcPr>
            <w:tcW w:type="dxa" w:w="30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Eastview Health Care LLC</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Adel Acres (MGM Healthcare)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Garetz, David</w:t>
            </w:r>
          </w:p>
        </w:tc>
        <w:tc>
          <w:tcPr>
            <w:tcW w:type="dxa" w:w="8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140</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4</w:t>
            </w:r>
          </w:p>
        </w:tc>
        <w:tc>
          <w:tcPr>
            <w:tcW w:type="dxa" w:w="30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10425 OPCO LLC</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Ft Worth Wellness (OPCO)</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Burnam, Soon</w:t>
            </w:r>
          </w:p>
        </w:tc>
        <w:tc>
          <w:tcPr>
            <w:tcW w:type="dxa" w:w="8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140</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4</w:t>
            </w:r>
          </w:p>
        </w:tc>
        <w:tc>
          <w:tcPr>
            <w:tcW w:type="dxa" w:w="30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Crown Hill Healthcare LLC</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Garrison Geriatric (Ensign)</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Lahasky, Ephram</w:t>
            </w:r>
          </w:p>
        </w:tc>
        <w:tc>
          <w:tcPr>
            <w:tcW w:type="dxa" w:w="8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140</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5</w:t>
            </w:r>
          </w:p>
        </w:tc>
        <w:tc>
          <w:tcPr>
            <w:tcW w:type="dxa" w:w="30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Hartington Operations LLC</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Country Lane Gardens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Thompson, Johnny</w:t>
            </w:r>
          </w:p>
        </w:tc>
        <w:tc>
          <w:tcPr>
            <w:tcW w:type="dxa" w:w="800"/>
            <w:tcBorders>
              <w:top w:val="single" w:color="CCCCCC" w:sz="1"/>
              <w:left w:val="single" w:color="CCCCCC" w:sz="1"/>
              <w:bottom w:val="single" w:color="CCCCCC" w:sz="1"/>
              <w:right w:val="single" w:color="CCCCCC" w:sz="1"/>
            </w:tcBorders>
            <w:shd w:fill="FCE4EC" w:val="clear"/>
            <w:tcMar>
              <w:top w:type="dxa" w:w="40"/>
              <w:left w:type="dxa" w:w="100"/>
              <w:bottom w:type="dxa" w:w="40"/>
              <w:right w:type="dxa" w:w="100"/>
            </w:tcMar>
          </w:tcPr>
          <w:p>
            <w:r>
              <w:rPr>
                <w:rFonts w:ascii="Arial" w:cs="Arial" w:eastAsia="Arial" w:hAnsi="Arial"/>
                <w:color w:val="C62828"/>
                <w:sz w:val="17"/>
                <w:szCs w:val="17"/>
              </w:rPr>
              <w:t xml:space="preserve">140</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5</w:t>
            </w:r>
          </w:p>
        </w:tc>
        <w:tc>
          <w:tcPr>
            <w:tcW w:type="dxa" w:w="304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Bellville Hospital District</w:t>
            </w:r>
          </w:p>
        </w:tc>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7"/>
                <w:szCs w:val="17"/>
              </w:rPr>
              <w:t xml:space="preserve">Avir at El Paso (0.016 RN)</w:t>
            </w:r>
          </w:p>
        </w:tc>
      </w:tr>
    </w:tbl>
    <w:p>
      <w:pPr>
        <w:spacing w:after="200" w:before="200"/>
      </w:pPr>
      <w:r>
        <w:rPr>
          <w:i/>
          <w:iCs/>
          <w:color w:val="666666"/>
          <w:sz w:val="20"/>
          <w:szCs w:val="20"/>
        </w:rPr>
        <w:t xml:space="preserve">Note: Thompson/Bellville is likely a hospital false positive. Bienstock and Lahasky networks warrant deep-dive.</w:t>
      </w:r>
    </w:p>
    <w:p>
      <w:pPr>
        <w:pStyle w:val="Heading1"/>
      </w:pPr>
      <w:r>
        <w:t xml:space="preserve">Methodology</w:t>
      </w:r>
    </w:p>
    <w:p>
      <w:pPr>
        <w:pStyle w:val="ListParagraph"/>
        <w:numPr>
          <w:ilvl w:val="0"/>
          <w:numId w:val="3"/>
        </w:numPr>
        <w:spacing w:after="120"/>
      </w:pPr>
      <w:r>
        <w:rPr>
          <w:sz w:val="22"/>
          <w:szCs w:val="22"/>
        </w:rPr>
        <w:t xml:space="preserve">Address Clustering: Grouped all 7.5M+ NPIs by normalized street address to identify fraud ring addresses (3+ NPIs at same location).</w:t>
      </w:r>
    </w:p>
    <w:p>
      <w:pPr>
        <w:pStyle w:val="ListParagraph"/>
        <w:numPr>
          <w:ilvl w:val="0"/>
          <w:numId w:val="3"/>
        </w:numPr>
        <w:spacing w:after="120"/>
      </w:pPr>
      <w:r>
        <w:rPr>
          <w:sz w:val="22"/>
          <w:szCs w:val="22"/>
        </w:rPr>
        <w:t xml:space="preserve">Hospital/AMC Scrub: Removed academic medical center contamination (individual physician NPIs at hospital addresses) using taxonomy codes and institution name matching.</w:t>
      </w:r>
    </w:p>
    <w:p>
      <w:pPr>
        <w:pStyle w:val="ListParagraph"/>
        <w:numPr>
          <w:ilvl w:val="0"/>
          <w:numId w:val="3"/>
        </w:numPr>
        <w:spacing w:after="120"/>
      </w:pPr>
      <w:r>
        <w:rPr>
          <w:sz w:val="22"/>
          <w:szCs w:val="22"/>
        </w:rPr>
        <w:t xml:space="preserve">LEIE Cross-Reference: Matched NPIs and normalized names against the OIG exclusion list (1,670 NPI matches + 76,389 name matches).</w:t>
      </w:r>
    </w:p>
    <w:p>
      <w:pPr>
        <w:pStyle w:val="ListParagraph"/>
        <w:numPr>
          <w:ilvl w:val="0"/>
          <w:numId w:val="3"/>
        </w:numPr>
        <w:spacing w:after="120"/>
      </w:pPr>
      <w:r>
        <w:rPr>
          <w:sz w:val="22"/>
          <w:szCs w:val="22"/>
        </w:rPr>
        <w:t xml:space="preserve">SNF-DMEPOS Bridge: Cross-referenced nursing home ownership records (owner names) with DMEPOS supplier authorized officials (name normalization: removed suffixes, standardized LAST, FIRST format).</w:t>
      </w:r>
    </w:p>
    <w:p>
      <w:pPr>
        <w:pStyle w:val="ListParagraph"/>
        <w:numPr>
          <w:ilvl w:val="0"/>
          <w:numId w:val="3"/>
        </w:numPr>
        <w:spacing w:after="120"/>
      </w:pPr>
      <w:r>
        <w:rPr>
          <w:sz w:val="22"/>
          <w:szCs w:val="22"/>
        </w:rPr>
        <w:t xml:space="preserve">PBJ Staffing Enrichment: Merged Payroll-Based Journal staffing data (RN/CNA/LPN hours per resident per day) to assess clinical plausibility.</w:t>
      </w:r>
    </w:p>
    <w:p>
      <w:pPr>
        <w:pStyle w:val="ListParagraph"/>
        <w:numPr>
          <w:ilvl w:val="0"/>
          <w:numId w:val="3"/>
        </w:numPr>
        <w:spacing w:after="200"/>
      </w:pPr>
      <w:r>
        <w:rPr>
          <w:sz w:val="22"/>
          <w:szCs w:val="22"/>
        </w:rPr>
        <w:t xml:space="preserve">Suspicion Scoring: Weighted composite score combining LEIE hits (+50), low staffing (+30 for &lt;0.5 RN HPRD), low star ratings (+15–20), name match type (+25), DMEPOS taxonomy (+15).</w:t>
      </w:r>
    </w:p>
    <w:p>
      <w:pPr>
        <w:pStyle w:val="Heading1"/>
      </w:pPr>
      <w:r>
        <w:t xml:space="preserve">Data Sources (All Public)</w:t>
      </w:r>
    </w:p>
    <w:p>
      <w:pPr>
        <w:pStyle w:val="ListParagraph"/>
        <w:numPr>
          <w:ilvl w:val="0"/>
          <w:numId w:val="2"/>
        </w:numPr>
        <w:spacing w:after="100"/>
      </w:pPr>
      <w:r>
        <w:rPr>
          <w:sz w:val="22"/>
          <w:szCs w:val="22"/>
        </w:rPr>
        <w:t xml:space="preserve">NPPES NPI Registry — 7.5M+ National Provider Identifiers</w:t>
      </w:r>
    </w:p>
    <w:p>
      <w:pPr>
        <w:pStyle w:val="ListParagraph"/>
        <w:numPr>
          <w:ilvl w:val="0"/>
          <w:numId w:val="2"/>
        </w:numPr>
        <w:spacing w:after="100"/>
      </w:pPr>
      <w:r>
        <w:rPr>
          <w:sz w:val="22"/>
          <w:szCs w:val="22"/>
        </w:rPr>
        <w:t xml:space="preserve">CMS DMEPOS Supplier PUFs — billing aggregates by supplier</w:t>
      </w:r>
    </w:p>
    <w:p>
      <w:pPr>
        <w:pStyle w:val="ListParagraph"/>
        <w:numPr>
          <w:ilvl w:val="0"/>
          <w:numId w:val="2"/>
        </w:numPr>
        <w:spacing w:after="100"/>
      </w:pPr>
      <w:r>
        <w:rPr>
          <w:sz w:val="22"/>
          <w:szCs w:val="22"/>
        </w:rPr>
        <w:t xml:space="preserve">CMS Nursing Home Ownership — 157,839 ownership/management records</w:t>
      </w:r>
    </w:p>
    <w:p>
      <w:pPr>
        <w:pStyle w:val="ListParagraph"/>
        <w:numPr>
          <w:ilvl w:val="0"/>
          <w:numId w:val="2"/>
        </w:numPr>
        <w:spacing w:after="100"/>
      </w:pPr>
      <w:r>
        <w:rPr>
          <w:sz w:val="22"/>
          <w:szCs w:val="22"/>
        </w:rPr>
        <w:t xml:space="preserve">CMS Provider Info — 14,713 facility ratings, staffing, deficiencies</w:t>
      </w:r>
    </w:p>
    <w:p>
      <w:pPr>
        <w:pStyle w:val="ListParagraph"/>
        <w:numPr>
          <w:ilvl w:val="0"/>
          <w:numId w:val="2"/>
        </w:numPr>
        <w:spacing w:after="100"/>
      </w:pPr>
      <w:r>
        <w:rPr>
          <w:sz w:val="22"/>
          <w:szCs w:val="22"/>
        </w:rPr>
        <w:t xml:space="preserve">CMS PBJ Staffing (2023 Q3) — daily payroll-reported nursing hours</w:t>
      </w:r>
    </w:p>
    <w:p>
      <w:pPr>
        <w:pStyle w:val="ListParagraph"/>
        <w:numPr>
          <w:ilvl w:val="0"/>
          <w:numId w:val="2"/>
        </w:numPr>
        <w:spacing w:after="200"/>
      </w:pPr>
      <w:r>
        <w:rPr>
          <w:sz w:val="22"/>
          <w:szCs w:val="22"/>
        </w:rPr>
        <w:t xml:space="preserve">OIG LEIE — List of Excluded Individuals/Entities</w:t>
      </w:r>
    </w:p>
    <w:p>
      <w:pPr>
        <w:pStyle w:val="Heading1"/>
      </w:pPr>
      <w:r>
        <w:t xml:space="preserve">Next Steps (Before March 30)</w:t>
      </w:r>
    </w:p>
    <w:p>
      <w:pPr>
        <w:pStyle w:val="ListParagraph"/>
        <w:numPr>
          <w:ilvl w:val="0"/>
          <w:numId w:val="3"/>
        </w:numPr>
        <w:spacing w:after="100"/>
      </w:pPr>
      <w:r>
        <w:rPr>
          <w:sz w:val="22"/>
          <w:szCs w:val="22"/>
        </w:rPr>
        <w:t xml:space="preserve">Validate Aperion/Arcadia network through NPPES lookup and public records to confirm ownership ties are current.</w:t>
      </w:r>
    </w:p>
    <w:p>
      <w:pPr>
        <w:pStyle w:val="ListParagraph"/>
        <w:numPr>
          <w:ilvl w:val="0"/>
          <w:numId w:val="3"/>
        </w:numPr>
        <w:spacing w:after="100"/>
      </w:pPr>
      <w:r>
        <w:rPr>
          <w:sz w:val="22"/>
          <w:szCs w:val="22"/>
        </w:rPr>
        <w:t xml:space="preserve">Update RFI comment draft (CRUSH_RFI_Comment_CMS-6098-NC_DataLink_Clinical.docx) with smoking gun case study.</w:t>
      </w:r>
    </w:p>
    <w:p>
      <w:pPr>
        <w:pStyle w:val="ListParagraph"/>
        <w:numPr>
          <w:ilvl w:val="0"/>
          <w:numId w:val="3"/>
        </w:numPr>
        <w:spacing w:after="100"/>
      </w:pPr>
      <w:r>
        <w:rPr>
          <w:sz w:val="22"/>
          <w:szCs w:val="22"/>
        </w:rPr>
        <w:t xml:space="preserve">Update HTML deliverable mockup (cms_crush_deliverable_v2.html) with real cross-reference data.</w:t>
      </w:r>
    </w:p>
    <w:p>
      <w:pPr>
        <w:pStyle w:val="ListParagraph"/>
        <w:numPr>
          <w:ilvl w:val="0"/>
          <w:numId w:val="3"/>
        </w:numPr>
        <w:spacing w:after="100"/>
      </w:pPr>
      <w:r>
        <w:rPr>
          <w:sz w:val="22"/>
          <w:szCs w:val="22"/>
        </w:rPr>
        <w:t xml:space="preserve">Deep-dive secondary networks: Bienstock (MGM Healthcare), Lahasky, Garetz (OPCO).</w:t>
      </w:r>
    </w:p>
    <w:p>
      <w:pPr>
        <w:pStyle w:val="ListParagraph"/>
        <w:numPr>
          <w:ilvl w:val="0"/>
          <w:numId w:val="3"/>
        </w:numPr>
        <w:spacing w:after="100"/>
      </w:pPr>
      <w:r>
        <w:rPr>
          <w:sz w:val="22"/>
          <w:szCs w:val="22"/>
        </w:rPr>
        <w:t xml:space="preserve">Investigate Prestonsburg KY (104 S Front Ave — 2,993 NPIs, 7% LEIE density) and Farmington Hills MI (27777 Inkster Rd — 19,142 NPIs, likely MSO).</w:t>
      </w:r>
    </w:p>
    <w:p>
      <w:pPr>
        <w:pStyle w:val="ListParagraph"/>
        <w:numPr>
          <w:ilvl w:val="0"/>
          <w:numId w:val="3"/>
        </w:numPr>
        <w:spacing w:after="200"/>
      </w:pPr>
      <w:r>
        <w:rPr>
          <w:b/>
          <w:bCs/>
          <w:sz w:val="22"/>
          <w:szCs w:val="22"/>
        </w:rPr>
        <w:t xml:space="preserve">Submit formal comment to CMS by March 30, 2026 deadline.</w:t>
      </w:r>
    </w:p>
    <w:p>
      <w:pPr>
        <w:pStyle w:val="Heading1"/>
      </w:pPr>
      <w:r>
        <w:t xml:space="preserve">File Locations (Mac Mini)</w:t>
      </w:r>
    </w:p>
    <w:p>
      <w:pPr>
        <w:spacing w:after="60"/>
      </w:pPr>
      <w:r>
        <w:rPr>
          <w:rFonts w:ascii="Courier New" w:cs="Courier New" w:eastAsia="Courier New" w:hAnsi="Courier New"/>
          <w:b/>
          <w:bCs/>
          <w:sz w:val="20"/>
          <w:szCs w:val="20"/>
        </w:rPr>
        <w:t xml:space="preserve">All files at: ~/Desktop/RB7-Project/healthcare_fraud/dmepos/</w:t>
      </w:r>
    </w:p>
    <w:p>
      <w:pPr>
        <w:pStyle w:val="ListParagraph"/>
        <w:numPr>
          <w:ilvl w:val="0"/>
          <w:numId w:val="2"/>
        </w:numPr>
        <w:spacing w:after="60"/>
      </w:pPr>
      <w:r>
        <w:rPr>
          <w:rFonts w:ascii="Courier New" w:cs="Courier New" w:eastAsia="Courier New" w:hAnsi="Courier New"/>
          <w:sz w:val="20"/>
          <w:szCs w:val="20"/>
        </w:rPr>
        <w:t xml:space="preserve">snf_dmepos_crossref.csv — 142MB, 446,905 matches (FULL RESULTS)</w:t>
      </w:r>
    </w:p>
    <w:p>
      <w:pPr>
        <w:pStyle w:val="ListParagraph"/>
        <w:numPr>
          <w:ilvl w:val="0"/>
          <w:numId w:val="2"/>
        </w:numPr>
        <w:spacing w:after="60"/>
      </w:pPr>
      <w:r>
        <w:rPr>
          <w:rFonts w:ascii="Courier New" w:cs="Courier New" w:eastAsia="Courier New" w:hAnsi="Courier New"/>
          <w:sz w:val="20"/>
          <w:szCs w:val="20"/>
        </w:rPr>
        <w:t xml:space="preserve">snf_dmepos_case_studies.csv — Top 50 leads with enrichment</w:t>
      </w:r>
    </w:p>
    <w:p>
      <w:pPr>
        <w:pStyle w:val="ListParagraph"/>
        <w:numPr>
          <w:ilvl w:val="0"/>
          <w:numId w:val="2"/>
        </w:numPr>
        <w:spacing w:after="60"/>
      </w:pPr>
      <w:r>
        <w:rPr>
          <w:rFonts w:ascii="Courier New" w:cs="Courier New" w:eastAsia="Courier New" w:hAnsi="Courier New"/>
          <w:sz w:val="20"/>
          <w:szCs w:val="20"/>
        </w:rPr>
        <w:t xml:space="preserve">snf_dmepos_summary.txt — Formatted summary with top 10</w:t>
      </w:r>
    </w:p>
    <w:p>
      <w:pPr>
        <w:pStyle w:val="ListParagraph"/>
        <w:numPr>
          <w:ilvl w:val="0"/>
          <w:numId w:val="2"/>
        </w:numPr>
        <w:spacing w:after="60"/>
      </w:pPr>
      <w:r>
        <w:rPr>
          <w:rFonts w:ascii="Courier New" w:cs="Courier New" w:eastAsia="Courier New" w:hAnsi="Courier New"/>
          <w:sz w:val="20"/>
          <w:szCs w:val="20"/>
        </w:rPr>
        <w:t xml:space="preserve">case_studies_report.txt — 20 formatted case studies</w:t>
      </w:r>
    </w:p>
    <w:p>
      <w:pPr>
        <w:pStyle w:val="ListParagraph"/>
        <w:numPr>
          <w:ilvl w:val="0"/>
          <w:numId w:val="2"/>
        </w:numPr>
        <w:spacing w:after="60"/>
      </w:pPr>
      <w:r>
        <w:rPr>
          <w:rFonts w:ascii="Courier New" w:cs="Courier New" w:eastAsia="Courier New" w:hAnsi="Courier New"/>
          <w:sz w:val="20"/>
          <w:szCs w:val="20"/>
        </w:rPr>
        <w:t xml:space="preserve">high_risk_final.csv — 71,518 HIGH_RISK + LEIE rows</w:t>
      </w:r>
    </w:p>
    <w:p>
      <w:pPr>
        <w:pStyle w:val="ListParagraph"/>
        <w:numPr>
          <w:ilvl w:val="0"/>
          <w:numId w:val="2"/>
        </w:numPr>
        <w:spacing w:after="60"/>
      </w:pPr>
      <w:r>
        <w:rPr>
          <w:rFonts w:ascii="Courier New" w:cs="Courier New" w:eastAsia="Courier New" w:hAnsi="Courier New"/>
          <w:sz w:val="20"/>
          <w:szCs w:val="20"/>
        </w:rPr>
        <w:t xml:space="preserve">dmepos_suppliers_only.csv — 51,776 DMEPOS suppliers</w:t>
      </w:r>
    </w:p>
    <w:p>
      <w:pPr>
        <w:pStyle w:val="ListParagraph"/>
        <w:numPr>
          <w:ilvl w:val="0"/>
          <w:numId w:val="2"/>
        </w:numPr>
        <w:spacing w:after="60"/>
      </w:pPr>
      <w:r>
        <w:rPr>
          <w:rFonts w:ascii="Courier New" w:cs="Courier New" w:eastAsia="Courier New" w:hAnsi="Courier New"/>
          <w:sz w:val="20"/>
          <w:szCs w:val="20"/>
        </w:rPr>
        <w:t xml:space="preserve">prosecutable_final.csv — 2,056,472 rows (cleaned layer)</w:t>
      </w:r>
    </w:p>
    <w:sectPr>
      <w:headerReference w:type="default" r:id="rId7"/>
      <w:footerReference w:type="default" r:id="rId8"/>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OversightReports.com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026"/>
      </w:tabs>
    </w:pPr>
    <w:r>
      <w:rPr>
        <w:rFonts w:ascii="Arial" w:cs="Arial" w:eastAsia="Arial" w:hAnsi="Arial"/>
        <w:b/>
        <w:bCs/>
        <w:color w:val="1F4E79"/>
        <w:sz w:val="16"/>
        <w:szCs w:val="16"/>
      </w:rPr>
      <w:t xml:space="preserve">CMS CRUSH RFI — SMOKING GUN ANALYSIS</w:t>
    </w:r>
    <w:r>
      <w:rPr>
        <w:rFonts w:ascii="Arial" w:cs="Arial" w:eastAsia="Arial" w:hAnsi="Arial"/>
        <w:color w:val="999999"/>
        <w:sz w:val="16"/>
        <w:szCs w:val="16"/>
      </w:rPr>
      <w:t xml:space="preserve">	CONFIDENTIAL — DataLink Clinical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2026-03-07T14:06:03.051Z</dcterms:created>
  <dcterms:modified xsi:type="dcterms:W3CDTF">2026-03-07T14:06:03.051Z</dcterms:modified>
</cp:coreProperties>
</file>

<file path=docProps/custom.xml><?xml version="1.0" encoding="utf-8"?>
<Properties xmlns="http://schemas.openxmlformats.org/officeDocument/2006/custom-properties" xmlns:vt="http://schemas.openxmlformats.org/officeDocument/2006/docPropsVTypes"/>
</file>