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sz w:val="40"/>
          <w:szCs w:val="40"/>
        </w:rPr>
        <w:t xml:space="preserve">The Oversight Report — Opportunity Landscape</w:t>
      </w:r>
    </w:p>
    <w:p>
      <w:pPr>
        <w:spacing w:after="120"/>
      </w:pPr>
      <w:r>
        <w:rPr>
          <w:color w:val="666666"/>
          <w:sz w:val="22"/>
          <w:szCs w:val="22"/>
        </w:rPr>
        <w:t xml:space="preserve">Rob Benard, MSN, APRN, NP-C — DataLink Clinical LLC</w:t>
      </w:r>
    </w:p>
    <w:p>
      <w:pPr>
        <w:spacing w:after="60"/>
      </w:pPr>
      <w:r>
        <w:rPr>
          <w:color w:val="666666"/>
          <w:sz w:val="20"/>
          <w:szCs w:val="20"/>
        </w:rPr>
        <w:t xml:space="preserve">Updated March 2026 — GUARD Platform: 14,713 Medicare Nursing Facilities</w:t>
      </w:r>
    </w:p>
    <w:p>
      <w:pPr>
        <w:spacing w:after="200"/>
      </w:pPr>
      <w:r>
        <w:rPr>
          <w:sz w:val="20"/>
          <w:szCs w:val="20"/>
        </w:rPr>
        <w:t xml:space="preserve">Priority color key: </w:t>
      </w:r>
      <w:r>
        <w:rPr>
          <w:b/>
          <w:bCs/>
          <w:color w:val="2E7D32"/>
          <w:sz w:val="20"/>
          <w:szCs w:val="20"/>
        </w:rPr>
        <w:t xml:space="preserve">GREEN = do this week</w:t>
      </w:r>
      <w:r>
        <w:rPr>
          <w:color w:val="999999"/>
          <w:sz w:val="20"/>
          <w:szCs w:val="20"/>
        </w:rPr>
        <w:t xml:space="preserve">  |  </w:t>
      </w:r>
      <w:r>
        <w:rPr>
          <w:b/>
          <w:bCs/>
          <w:color w:val="F57F17"/>
          <w:sz w:val="20"/>
          <w:szCs w:val="20"/>
        </w:rPr>
        <w:t xml:space="preserve">YELLOW = this month</w:t>
      </w:r>
      <w:r>
        <w:rPr>
          <w:color w:val="999999"/>
          <w:sz w:val="20"/>
          <w:szCs w:val="20"/>
        </w:rPr>
        <w:t xml:space="preserve">  |  </w:t>
      </w:r>
      <w:r>
        <w:rPr>
          <w:b/>
          <w:bCs/>
          <w:color w:val="1565C0"/>
          <w:sz w:val="20"/>
          <w:szCs w:val="20"/>
        </w:rPr>
        <w:t xml:space="preserve">BLUE = watch</w:t>
      </w:r>
      <w:r>
        <w:rPr>
          <w:color w:val="999999"/>
          <w:sz w:val="20"/>
          <w:szCs w:val="20"/>
        </w:rPr>
        <w:t xml:space="preserve">  |  </w:t>
      </w:r>
      <w:r>
        <w:rPr>
          <w:b/>
          <w:bCs/>
          <w:color w:val="C62828"/>
          <w:sz w:val="20"/>
          <w:szCs w:val="20"/>
        </w:rPr>
        <w:t xml:space="preserve">RED = long game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200"/>
        <w:gridCol w:w="1080"/>
        <w:gridCol w:w="16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Opportunity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You'd 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Money?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CRUSH RFI Comment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Public comment on CMS docket CMS-6098-NC. Not a contract or grant.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 the Word doc we already wrote to regulations.gov. Deadline: March 30, 2026.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 directly. Positions you for future TEP/SME work.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 — doc is done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 THIS WEEK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HFPP Membership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 public-private partnership run by CMS. Share data, collaborate on fraud detection studies.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 TTP@gdit.com, explain your platform, ask about eligibility for DataLink Clinical.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None. It’s a network, not a paycheck. But puts you in rooms with CMS, OIG, FBI, payers.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 — one email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 THIS WEEK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California MFCU Pilot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State AG’s Medicaid Fraud Control Unit. They investigate nursing home fraud. Funded 75% by feds.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Cold outreach to CA MFCU. Pitch facility-level risk intelligence as a pilot. You’re local (Oakland).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$50–150K for a pilot (realistic). This is where actual revenue starts.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 — need pitch deck + demo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 THIS MONTH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OIG Antipsychotic Gaming (SRS-E-26-006)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OIG Work Plan item: nursing homes diagnosing dementia patients w/ schizophrenia to game quality measures.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detection logic in GUARD (schizophrenia dx rate vs dementia census vs antipsychotic use). Use as proof-of-concept for MFCU/HFPP pitches.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directly funded. But this IS your killer demo. Shows clinical + data credibility.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 — data analysis + new feature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 THIS MONTH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AHRQ R03 Grant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Small research grant, up to $100K over 2 years. For-profit eligible. Rolling deadlines.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Write a grant proposal: “Facility-level predictive analytics for nursing home quality and fraud detection.”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 to $100K. Real money, but weeks of writing.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 — full grant application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THIS MONTH (start drafting)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Expert Witness / Litigation Support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Attorneys in nursing home abuse cases need clinical experts + data. You’re both.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a page on oversightreports.com for attorneys. Register on SEAK or Expert Institute.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$300–500/hr (realistic for NP experts). Sporadic, not steady income.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Low–Medium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THIS MONTH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Presidential Innovation Fellows (HHS-OIG)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12–24 month embedded fellowship at OIG. Data/AI work on fraud detection. GS-15 pay (~$150–180K).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Apply at presidentialinnovationfellows.gov when next cohort opens.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salary, but you’d leave Highland.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 — full application + career change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WATCH — apply when open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SBIR Phase 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Federal small biz R&amp;D grant. Phase I up to $314K.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Wait. Program has been frozen since Sept 2025 pending congressional reauthorization.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 to $314K Phase I, $2.1M Phase II.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 — full proposal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WATCH — frozen right now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DOJ Data Fusion Center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Joint DOJ/HHS-OIG/FBI initiative using AI for fraud detection. Internal government operation.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direct path in. Build credibility through HFPP, MFCU work, and CRUSH comment. They’ll find you.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Large contracts, but only for established firms (Booz Allen, Palantir tier).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 — not directly accessible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LONG GAME — build toward 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Foundation Grants (RWJ, Commonwealth, etc.)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Private foundations fund healthcare quality/transparency projects.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Cold pitch to program officers. Need a compelling narrative + working product.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$25–250K depending on foundation.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 — each pitch is custom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LONG GAME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sz w:val="40"/>
          <w:szCs w:val="40"/>
        </w:rPr>
        <w:t xml:space="preserve">Competitive Landscape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Your unique position: Facility-level intelligence layer. Nobody else combines clinical expertise + CMS data + public accountability platform.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Key differentiator: You’re a psych NP who can say “a 40% schizophrenia rate in a memory care unit is clinically absurd” — a data analyst can’t.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Their Lane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 vs. Them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StarPRO (Colleen Muncy)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CMS star rating dashboards for investors/operators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Operator analytics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Different market. They help operators game ratings. You expose the gaming.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Qlarant / SafeGuard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UPIC contractors, claims-level billing fraud detection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Claims analysis (billing codes)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Different layer. They look at claims. You look at the building.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Alivia Analytics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Healthcare fraud analytics for payers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Payer-side fraud detection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Enterprise SaaS. You’re facility-level public accountability.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ICF / Mathematica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Large consulting firms doing CMS evaluation 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Government consulting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They do what CMS tells them. You built your own thing.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NursingHome411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Consumer advocacy site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Public information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Advocacy, not analytics. No risk scoring, no chain analysis.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sz w:val="40"/>
          <w:szCs w:val="40"/>
        </w:rPr>
        <w:t xml:space="preserve">This Week’s Action Items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Three moves, zero cost, maximum positioning.</w:t>
      </w:r>
    </w:p>
    <w:p>
      <w:pPr>
        <w:spacing w:after="60" w:before="200"/>
      </w:pPr>
      <w:r>
        <w:rPr>
          <w:b/>
          <w:bCs/>
          <w:color w:val="1B3A5C"/>
          <w:sz w:val="26"/>
          <w:szCs w:val="26"/>
        </w:rPr>
        <w:t xml:space="preserve">1. Submit CRUSH RFI Comment</w:t>
      </w:r>
    </w:p>
    <w:p>
      <w:pPr>
        <w:spacing w:after="120"/>
      </w:pPr>
      <w:r>
        <w:rPr>
          <w:sz w:val="22"/>
          <w:szCs w:val="22"/>
        </w:rPr>
        <w:t xml:space="preserve">Upload CRUSH_RFI_Comment_CMS-6098-NC_DataLink_Clinical.docx to regulations.gov under docket CMS-6098-NC. Deadline: March 30, 2026. Document is ready — just verify your credential letters and submit.</w:t>
      </w:r>
    </w:p>
    <w:p>
      <w:pPr>
        <w:spacing w:after="60" w:before="200"/>
      </w:pPr>
      <w:r>
        <w:rPr>
          <w:b/>
          <w:bCs/>
          <w:color w:val="1B3A5C"/>
          <w:sz w:val="26"/>
          <w:szCs w:val="26"/>
        </w:rPr>
        <w:t xml:space="preserve">2. Email HFPP (TTP@gdit.com)</w:t>
      </w:r>
    </w:p>
    <w:p>
      <w:pPr>
        <w:spacing w:after="120"/>
      </w:pPr>
      <w:r>
        <w:rPr>
          <w:sz w:val="22"/>
          <w:szCs w:val="22"/>
        </w:rPr>
        <w:t xml:space="preserve">Introduce DataLink Clinical and the GUARD platform. Ask about partner eligibility. Mention: 14,713 facilities, facility-level risk scoring, citation analysis, chain/ownership mapping, antipsychotic prescribing anomaly detection.</w:t>
      </w:r>
    </w:p>
    <w:p>
      <w:pPr>
        <w:spacing w:after="60" w:before="200"/>
      </w:pPr>
      <w:r>
        <w:rPr>
          <w:b/>
          <w:bCs/>
          <w:color w:val="1B3A5C"/>
          <w:sz w:val="26"/>
          <w:szCs w:val="26"/>
        </w:rPr>
        <w:t xml:space="preserve">3. Push Git Commit 10cc24d</w:t>
      </w:r>
    </w:p>
    <w:p>
      <w:pPr>
        <w:spacing w:after="120"/>
      </w:pPr>
      <w:r>
        <w:rPr>
          <w:sz w:val="22"/>
          <w:szCs w:val="22"/>
        </w:rPr>
        <w:t xml:space="preserve">From Mac Mini: cd ~/Desktop/RB7-Project/healthcare_fraud/nursing_home/frontend &amp;&amp; git push origin main. This deploys the CMS language neutralization across 5 files (8 instances).</w:t>
      </w:r>
    </w:p>
    <w:p>
      <w:pPr>
        <w:spacing w:before="360"/>
      </w:pPr>
    </w:p>
    <w:p>
      <w:pPr>
        <w:pStyle w:val="Heading2"/>
      </w:pPr>
      <w:r>
        <w:t xml:space="preserve">Guardrails (Honest Assessment)</w:t>
      </w:r>
    </w:p>
    <w:p>
      <w:pPr>
        <w:spacing w:after="80"/>
      </w:pPr>
      <w:r>
        <w:rPr>
          <w:color w:val="555555"/>
          <w:sz w:val="20"/>
          <w:szCs w:val="20"/>
        </w:rPr>
        <w:t xml:space="preserve">•  UPIC subcontracts and Data Fusion Center access take years of credibility building. Don’t chase them now.</w:t>
      </w:r>
    </w:p>
    <w:p>
      <w:pPr>
        <w:spacing w:after="80"/>
      </w:pPr>
      <w:r>
        <w:rPr>
          <w:color w:val="555555"/>
          <w:sz w:val="20"/>
          <w:szCs w:val="20"/>
        </w:rPr>
        <w:t xml:space="preserve">•  SBIR is frozen. Don’t spend time on it until Congress reauthorizes.</w:t>
      </w:r>
    </w:p>
    <w:p>
      <w:pPr>
        <w:spacing w:after="80"/>
      </w:pPr>
      <w:r>
        <w:rPr>
          <w:color w:val="555555"/>
          <w:sz w:val="20"/>
          <w:szCs w:val="20"/>
        </w:rPr>
        <w:t xml:space="preserve">•  Expert witness work requires reputation first. Build it through HFPP/MFCU, not the other way around.</w:t>
      </w:r>
    </w:p>
    <w:p>
      <w:pPr>
        <w:spacing w:after="80"/>
      </w:pPr>
      <w:r>
        <w:rPr>
          <w:color w:val="555555"/>
          <w:sz w:val="20"/>
          <w:szCs w:val="20"/>
        </w:rPr>
        <w:t xml:space="preserve">•  Foundation grants are weeks of custom writing per application. Only pursue after you have one win to point to.</w:t>
      </w:r>
    </w:p>
    <w:p>
      <w:pPr>
        <w:spacing w:after="80"/>
      </w:pPr>
      <w:r>
        <w:rPr>
          <w:color w:val="555555"/>
          <w:sz w:val="20"/>
          <w:szCs w:val="20"/>
        </w:rPr>
        <w:t xml:space="preserve">•  A $50K MFCU pilot would be a huge win. Don’t anchor on six-figure expectations yet.</w:t>
      </w:r>
    </w:p>
    <w:p>
      <w:pPr>
        <w:spacing w:after="80"/>
      </w:pPr>
      <w:r>
        <w:rPr>
          <w:color w:val="555555"/>
          <w:sz w:val="20"/>
          <w:szCs w:val="20"/>
        </w:rPr>
        <w:t xml:space="preserve">•  Most of these paths take 6–18 months to produce revenue. The CRUSH comment and HFPP email are free and immediate.</w:t>
      </w:r>
    </w:p>
    <w:sectPr>
      <w:headerReference w:type="default" r:id="rId7"/>
      <w:footerReference w:type="default" r:id="rId8"/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DataLink Clinical LLC — Confidential — March 2026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The Oversight Report — Opportunity Landscape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2026-03-06T04:53:29.001Z</dcterms:created>
  <dcterms:modified xsi:type="dcterms:W3CDTF">2026-03-06T04:53:29.001Z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