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B4F" w:rsidRDefault="009D1B4F" w:rsidP="009D1B4F">
      <w:pPr>
        <w:pStyle w:val="Ttulo4"/>
        <w:numPr>
          <w:ilvl w:val="0"/>
          <w:numId w:val="2"/>
        </w:numPr>
      </w:pPr>
      <w:r>
        <w:t>Objetivos a cumplir dentro del aplicativo informático: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5374"/>
      </w:tblGrid>
      <w:tr w:rsidR="009D1B4F" w:rsidTr="009D1B4F">
        <w:trPr>
          <w:trHeight w:val="456"/>
        </w:trPr>
        <w:tc>
          <w:tcPr>
            <w:tcW w:w="2547" w:type="dxa"/>
            <w:vMerge w:val="restart"/>
          </w:tcPr>
          <w:p w:rsidR="009D1B4F" w:rsidRDefault="009D1B4F" w:rsidP="002B61FA">
            <w:pPr>
              <w:pStyle w:val="Texto"/>
            </w:pPr>
            <w:r>
              <w:t>Personal de SUSALUD</w:t>
            </w: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Difundir la cultura de derechos en salud del ciudadano.</w:t>
            </w:r>
            <w:r>
              <w:t xml:space="preserve"> </w:t>
            </w:r>
          </w:p>
          <w:p w:rsidR="000F2119" w:rsidRDefault="000F2119" w:rsidP="002B61FA">
            <w:pPr>
              <w:pStyle w:val="Texto"/>
            </w:pPr>
            <w:r w:rsidRPr="000F2119">
              <w:rPr>
                <w:color w:val="7030A0"/>
              </w:rPr>
              <w:t>Mencionado en página 66 en “El personal de SUSALUD menciono que un componente educativo er</w:t>
            </w:r>
            <w:r>
              <w:rPr>
                <w:color w:val="7030A0"/>
              </w:rPr>
              <w:t>a</w:t>
            </w:r>
            <w:r w:rsidRPr="000F2119">
              <w:rPr>
                <w:color w:val="7030A0"/>
              </w:rPr>
              <w:t xml:space="preserve"> necesario para poder difundir la cultura de los derechos en salud de los ciudadanos”</w:t>
            </w:r>
          </w:p>
        </w:tc>
      </w:tr>
      <w:tr w:rsidR="009D1B4F" w:rsidTr="009D1B4F">
        <w:trPr>
          <w:trHeight w:val="561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 w:rsidRPr="00BA156B">
              <w:t>Desmitificar el reclamo</w:t>
            </w:r>
            <w:r>
              <w:t>.</w:t>
            </w:r>
          </w:p>
          <w:p w:rsidR="00B1571A" w:rsidRDefault="00B1571A" w:rsidP="002B61FA">
            <w:pPr>
              <w:pStyle w:val="Texto"/>
            </w:pPr>
            <w:r w:rsidRPr="00B1571A">
              <w:rPr>
                <w:color w:val="7030A0"/>
              </w:rPr>
              <w:t xml:space="preserve">Mencionado en </w:t>
            </w:r>
            <w:proofErr w:type="spellStart"/>
            <w:r w:rsidRPr="00B1571A">
              <w:rPr>
                <w:color w:val="7030A0"/>
              </w:rPr>
              <w:t>pagina</w:t>
            </w:r>
            <w:proofErr w:type="spellEnd"/>
            <w:r w:rsidRPr="00B1571A">
              <w:rPr>
                <w:color w:val="7030A0"/>
              </w:rPr>
              <w:t xml:space="preserve"> 67 en “Mencionaron </w:t>
            </w:r>
            <w:proofErr w:type="spellStart"/>
            <w:r w:rsidRPr="00B1571A">
              <w:rPr>
                <w:color w:val="7030A0"/>
              </w:rPr>
              <w:t>tambien</w:t>
            </w:r>
            <w:proofErr w:type="spellEnd"/>
            <w:r w:rsidRPr="00B1571A">
              <w:rPr>
                <w:color w:val="7030A0"/>
              </w:rPr>
              <w:t xml:space="preserve"> que se necesita </w:t>
            </w:r>
            <w:proofErr w:type="spellStart"/>
            <w:r w:rsidRPr="00B1571A">
              <w:rPr>
                <w:color w:val="7030A0"/>
              </w:rPr>
              <w:t>desmitifcar</w:t>
            </w:r>
            <w:proofErr w:type="spellEnd"/>
            <w:r w:rsidRPr="00B1571A">
              <w:rPr>
                <w:color w:val="7030A0"/>
              </w:rPr>
              <w:t xml:space="preserve"> el reclamo”</w:t>
            </w:r>
          </w:p>
        </w:tc>
      </w:tr>
      <w:tr w:rsidR="009D1B4F" w:rsidTr="009D1B4F">
        <w:trPr>
          <w:trHeight w:val="486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</w:p>
        </w:tc>
      </w:tr>
      <w:tr w:rsidR="009D1B4F" w:rsidTr="009D1B4F">
        <w:trPr>
          <w:trHeight w:val="441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</w:p>
        </w:tc>
      </w:tr>
      <w:tr w:rsidR="009D1B4F" w:rsidTr="009D1B4F">
        <w:trPr>
          <w:trHeight w:val="500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Brindar información fácil de entender por los ciudadanos y gestores.</w:t>
            </w:r>
          </w:p>
          <w:p w:rsidR="00BE0C56" w:rsidRDefault="00BE0C56" w:rsidP="002B61FA">
            <w:pPr>
              <w:pStyle w:val="Texto"/>
            </w:pPr>
            <w:r w:rsidRPr="00BE0C56">
              <w:rPr>
                <w:color w:val="7030A0"/>
              </w:rPr>
              <w:t xml:space="preserve">Mencionado en la página 64 en “todos los tipos de usuario mencionaron que les gustaría que el aplicativo fuera altamente intuitivo, directo y grafico” </w:t>
            </w:r>
          </w:p>
        </w:tc>
      </w:tr>
      <w:tr w:rsidR="009D1B4F" w:rsidTr="009D1B4F">
        <w:trPr>
          <w:trHeight w:val="517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Acortar procesos de resolución de reclamos.</w:t>
            </w:r>
          </w:p>
          <w:p w:rsidR="007053C2" w:rsidRDefault="007053C2" w:rsidP="002B61FA">
            <w:pPr>
              <w:pStyle w:val="Texto"/>
            </w:pPr>
            <w:r w:rsidRPr="007053C2">
              <w:rPr>
                <w:color w:val="7030A0"/>
              </w:rPr>
              <w:t>Mencionado en página 62 en “el personal de SUSALUD y los ciudadanos señalaron que deberían difundirse abiertamente como manejan e interiorizan los reclamos y que se agilice la gestión de ellos”</w:t>
            </w:r>
          </w:p>
        </w:tc>
      </w:tr>
      <w:tr w:rsidR="009D1B4F" w:rsidTr="009D1B4F">
        <w:trPr>
          <w:trHeight w:val="576"/>
        </w:trPr>
        <w:tc>
          <w:tcPr>
            <w:tcW w:w="2547" w:type="dxa"/>
            <w:vMerge w:val="restart"/>
          </w:tcPr>
          <w:p w:rsidR="009D1B4F" w:rsidRDefault="009D1B4F" w:rsidP="002B61FA">
            <w:pPr>
              <w:pStyle w:val="Texto"/>
            </w:pPr>
            <w:r>
              <w:t>Gestores de IPRESS</w:t>
            </w: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Identificar sus fallas dentro de procesos internos.</w:t>
            </w:r>
          </w:p>
          <w:p w:rsidR="00BE0C56" w:rsidRDefault="00BE0C56" w:rsidP="002B61FA">
            <w:pPr>
              <w:pStyle w:val="Texto"/>
            </w:pPr>
            <w:r w:rsidRPr="000F2119">
              <w:rPr>
                <w:color w:val="7030A0"/>
              </w:rPr>
              <w:t xml:space="preserve">Mencionado en la </w:t>
            </w:r>
            <w:r w:rsidR="000705E6" w:rsidRPr="000F2119">
              <w:rPr>
                <w:color w:val="7030A0"/>
              </w:rPr>
              <w:t>página</w:t>
            </w:r>
            <w:r w:rsidRPr="000F2119">
              <w:rPr>
                <w:color w:val="7030A0"/>
              </w:rPr>
              <w:t xml:space="preserve"> 65 </w:t>
            </w:r>
            <w:r w:rsidR="000F2119" w:rsidRPr="000F2119">
              <w:rPr>
                <w:color w:val="7030A0"/>
              </w:rPr>
              <w:t>en “… para que los reclamos presentados sean valiosas y permitan encontrar verdaderas fallas en sus procesos”</w:t>
            </w:r>
          </w:p>
        </w:tc>
      </w:tr>
      <w:tr w:rsidR="009D1B4F" w:rsidTr="009D1B4F">
        <w:trPr>
          <w:trHeight w:val="455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 xml:space="preserve">Contar con medios </w:t>
            </w:r>
            <w:r w:rsidR="00B1571A">
              <w:t>para dar seguimiento a reclamos y visualizar procedimiento hecho anteriormente para la resolución de reclamos</w:t>
            </w:r>
          </w:p>
          <w:p w:rsidR="000705E6" w:rsidRDefault="000705E6" w:rsidP="002B61FA">
            <w:pPr>
              <w:pStyle w:val="Texto"/>
            </w:pPr>
            <w:r w:rsidRPr="000705E6">
              <w:rPr>
                <w:color w:val="7030A0"/>
              </w:rPr>
              <w:t>Mencionado en página 66 en “que debería poder verse los pasos hechos anteriormente para gestionar los reclamos de una manera uniforme”</w:t>
            </w:r>
          </w:p>
        </w:tc>
      </w:tr>
      <w:tr w:rsidR="009D1B4F" w:rsidTr="009D1B4F">
        <w:trPr>
          <w:trHeight w:val="622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Obtener de estadísticas y reportes precisos para toma de decisiones.</w:t>
            </w:r>
          </w:p>
          <w:p w:rsidR="00BE0C56" w:rsidRDefault="00BE0C56" w:rsidP="002B61FA">
            <w:pPr>
              <w:pStyle w:val="Texto"/>
            </w:pPr>
            <w:r w:rsidRPr="00BE0C56">
              <w:rPr>
                <w:color w:val="7030A0"/>
              </w:rPr>
              <w:t>Mencionado en página 65 en “Dijeron que les gustaría poder visualizar estadísticas de reclamos de las IPRESS”</w:t>
            </w:r>
          </w:p>
        </w:tc>
      </w:tr>
      <w:tr w:rsidR="009D1B4F" w:rsidTr="009D1B4F">
        <w:trPr>
          <w:trHeight w:val="502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Obtener recomendaciones de ciudadanos por medio de la participación activa de ellos.</w:t>
            </w:r>
          </w:p>
          <w:p w:rsidR="000F2119" w:rsidRDefault="000F2119" w:rsidP="002B61FA">
            <w:pPr>
              <w:pStyle w:val="Texto"/>
            </w:pPr>
            <w:r w:rsidRPr="000F2119">
              <w:rPr>
                <w:color w:val="7030A0"/>
              </w:rPr>
              <w:t>Mencionado en página 66 en “Resaltaron la importancia de los gráficos estadísticos y de no colocar solo las cosas negativas sino también recomendaciones o felicitaciones”</w:t>
            </w:r>
          </w:p>
        </w:tc>
      </w:tr>
      <w:tr w:rsidR="009D1B4F" w:rsidTr="009D1B4F">
        <w:trPr>
          <w:trHeight w:val="515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Educar a ciudadanos sobre servicios de salud brindados.</w:t>
            </w:r>
          </w:p>
          <w:p w:rsidR="000F2119" w:rsidRDefault="000F2119" w:rsidP="002B61FA">
            <w:pPr>
              <w:pStyle w:val="Texto"/>
            </w:pPr>
            <w:r w:rsidRPr="000F2119">
              <w:rPr>
                <w:color w:val="7030A0"/>
              </w:rPr>
              <w:t>Mencionado en página 65 en “además de una parte educativa en donde se dé a conocer los servicios de salud brindados”</w:t>
            </w:r>
          </w:p>
        </w:tc>
      </w:tr>
      <w:tr w:rsidR="009D1B4F" w:rsidTr="009D1B4F">
        <w:trPr>
          <w:trHeight w:val="440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</w:p>
        </w:tc>
      </w:tr>
      <w:tr w:rsidR="009D1B4F" w:rsidTr="009D1B4F">
        <w:trPr>
          <w:trHeight w:val="516"/>
        </w:trPr>
        <w:tc>
          <w:tcPr>
            <w:tcW w:w="2547" w:type="dxa"/>
            <w:vMerge w:val="restart"/>
          </w:tcPr>
          <w:p w:rsidR="009D1B4F" w:rsidRDefault="009D1B4F" w:rsidP="002B61FA">
            <w:pPr>
              <w:pStyle w:val="Texto"/>
            </w:pPr>
            <w:r>
              <w:t>Ciudadanos</w:t>
            </w: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Colocar un reclamo de forma simple y con posibilidad de subir material multimedia.</w:t>
            </w:r>
          </w:p>
          <w:p w:rsidR="000705E6" w:rsidRDefault="000705E6" w:rsidP="002B61FA">
            <w:pPr>
              <w:pStyle w:val="Texto"/>
            </w:pPr>
            <w:r w:rsidRPr="000705E6">
              <w:rPr>
                <w:color w:val="7030A0"/>
              </w:rPr>
              <w:t xml:space="preserve">Mencionado en </w:t>
            </w:r>
            <w:r w:rsidR="00B1571A" w:rsidRPr="000705E6">
              <w:rPr>
                <w:color w:val="7030A0"/>
              </w:rPr>
              <w:t>página</w:t>
            </w:r>
            <w:r w:rsidRPr="000705E6">
              <w:rPr>
                <w:color w:val="7030A0"/>
              </w:rPr>
              <w:t xml:space="preserve"> 67 en “Sobre como presentar un reclamos de forma adecuada (…) si es que pudieran adjuntarse material multimedia donde puedan demostrar lo ocurrido”</w:t>
            </w:r>
          </w:p>
        </w:tc>
      </w:tr>
      <w:tr w:rsidR="009D1B4F" w:rsidTr="009D1B4F">
        <w:trPr>
          <w:trHeight w:val="441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Saber quién está gestionando la resolución del reclamo.</w:t>
            </w:r>
          </w:p>
          <w:p w:rsidR="000F2119" w:rsidRDefault="000F2119" w:rsidP="002B61FA">
            <w:pPr>
              <w:pStyle w:val="Texto"/>
            </w:pPr>
            <w:r w:rsidRPr="000F2119">
              <w:rPr>
                <w:color w:val="7030A0"/>
              </w:rPr>
              <w:t>Mencionado en página 65 en “Los ciudadanos dijeron que también les gustaría poder ver las respuestas dadas por personas que gestionen los reclamos”</w:t>
            </w:r>
          </w:p>
        </w:tc>
      </w:tr>
      <w:tr w:rsidR="009D1B4F" w:rsidTr="009D1B4F">
        <w:trPr>
          <w:trHeight w:val="502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bookmarkStart w:id="0" w:name="_GoBack"/>
            <w:bookmarkEnd w:id="0"/>
          </w:p>
        </w:tc>
      </w:tr>
      <w:tr w:rsidR="009D1B4F" w:rsidTr="009D1B4F">
        <w:trPr>
          <w:trHeight w:val="515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 xml:space="preserve">Visualizar </w:t>
            </w:r>
            <w:r w:rsidR="007053C2">
              <w:t xml:space="preserve">comentarios </w:t>
            </w:r>
            <w:r>
              <w:t>de otros pacientes</w:t>
            </w:r>
            <w:r w:rsidR="007053C2">
              <w:t xml:space="preserve"> sobre temáticas similares a su reclamo.</w:t>
            </w:r>
          </w:p>
          <w:p w:rsidR="007053C2" w:rsidRDefault="007053C2" w:rsidP="002B61FA">
            <w:pPr>
              <w:pStyle w:val="Texto"/>
            </w:pPr>
            <w:r w:rsidRPr="007053C2">
              <w:rPr>
                <w:color w:val="7030A0"/>
              </w:rPr>
              <w:t>Mencionado en página 65 en “</w:t>
            </w:r>
            <w:r w:rsidRPr="007053C2">
              <w:rPr>
                <w:color w:val="7030A0"/>
              </w:rPr>
              <w:t>Les parecía más cómodo que los reclamos se agruparan por tema al cual ellos pudieran irse sumando en lugar de hacerlo personal, de este modo iban a poder revisar temáticas similares.</w:t>
            </w:r>
            <w:r w:rsidRPr="007053C2">
              <w:rPr>
                <w:color w:val="7030A0"/>
              </w:rPr>
              <w:t>”</w:t>
            </w:r>
          </w:p>
        </w:tc>
      </w:tr>
      <w:tr w:rsidR="009D1B4F" w:rsidTr="009D1B4F">
        <w:trPr>
          <w:trHeight w:val="426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7053C2" w:rsidP="002B61FA">
            <w:pPr>
              <w:pStyle w:val="Texto"/>
            </w:pPr>
            <w:r>
              <w:t>Mejorar la comunicación con personal de su IPRESS</w:t>
            </w:r>
          </w:p>
          <w:p w:rsidR="007053C2" w:rsidRDefault="007053C2" w:rsidP="002B61FA">
            <w:pPr>
              <w:pStyle w:val="Texto"/>
            </w:pPr>
            <w:r w:rsidRPr="007053C2">
              <w:rPr>
                <w:color w:val="7030A0"/>
              </w:rPr>
              <w:t xml:space="preserve">Mencionado en </w:t>
            </w:r>
            <w:proofErr w:type="spellStart"/>
            <w:r w:rsidRPr="007053C2">
              <w:rPr>
                <w:color w:val="7030A0"/>
              </w:rPr>
              <w:t>pag</w:t>
            </w:r>
            <w:proofErr w:type="spellEnd"/>
            <w:r w:rsidRPr="007053C2">
              <w:rPr>
                <w:color w:val="7030A0"/>
              </w:rPr>
              <w:t xml:space="preserve"> 64 en “Todos estuvieron de acuerdo en que esta herramienta serviría mucho para mejorar la comunicación entre pacientes e IPRESS”</w:t>
            </w:r>
          </w:p>
        </w:tc>
      </w:tr>
      <w:tr w:rsidR="009D1B4F" w:rsidTr="009D1B4F">
        <w:trPr>
          <w:trHeight w:val="591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</w:p>
        </w:tc>
      </w:tr>
      <w:tr w:rsidR="009D1B4F" w:rsidTr="009D1B4F">
        <w:trPr>
          <w:trHeight w:val="424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Hacer saber a la IPRESS sus fallas en atención.</w:t>
            </w:r>
          </w:p>
          <w:p w:rsidR="000705E6" w:rsidRDefault="000705E6" w:rsidP="000705E6">
            <w:pPr>
              <w:pStyle w:val="Texto"/>
            </w:pPr>
            <w:r w:rsidRPr="000705E6">
              <w:rPr>
                <w:color w:val="7030A0"/>
              </w:rPr>
              <w:t>Mencionado en página 59 en “Los ciudadanos mencionaron que los reclamos no son vistos como una forma de expresar que algo no está funcionado dentro del establecimiento”</w:t>
            </w:r>
          </w:p>
        </w:tc>
      </w:tr>
    </w:tbl>
    <w:p w:rsidR="009D1B4F" w:rsidRPr="0051206E" w:rsidRDefault="009D1B4F" w:rsidP="009D1B4F">
      <w:pPr>
        <w:pStyle w:val="Texto"/>
        <w:jc w:val="center"/>
        <w:rPr>
          <w:sz w:val="22"/>
        </w:rPr>
      </w:pPr>
      <w:r w:rsidRPr="00F305B6">
        <w:rPr>
          <w:sz w:val="22"/>
        </w:rPr>
        <w:t xml:space="preserve">Tabla Nº </w:t>
      </w:r>
      <w:r>
        <w:rPr>
          <w:sz w:val="22"/>
        </w:rPr>
        <w:t>2</w:t>
      </w:r>
      <w:r w:rsidRPr="0051206E">
        <w:rPr>
          <w:sz w:val="22"/>
        </w:rPr>
        <w:t xml:space="preserve">. Tabla de hallazgos </w:t>
      </w:r>
      <w:r>
        <w:rPr>
          <w:sz w:val="22"/>
        </w:rPr>
        <w:t>objetivos</w:t>
      </w:r>
      <w:r w:rsidRPr="005C0CEB">
        <w:rPr>
          <w:sz w:val="22"/>
        </w:rPr>
        <w:t xml:space="preserve"> encontrad</w:t>
      </w:r>
      <w:r>
        <w:rPr>
          <w:sz w:val="22"/>
        </w:rPr>
        <w:t>o</w:t>
      </w:r>
      <w:r w:rsidRPr="0051206E">
        <w:rPr>
          <w:sz w:val="22"/>
        </w:rPr>
        <w:t>s por tipo de usuario.</w:t>
      </w:r>
    </w:p>
    <w:p w:rsidR="009D1B4F" w:rsidRDefault="009D1B4F" w:rsidP="009D1B4F">
      <w:pPr>
        <w:pStyle w:val="Ttulo4"/>
      </w:pPr>
      <w:r>
        <w:t>Desafíos y Limitaciones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47"/>
        <w:gridCol w:w="5374"/>
      </w:tblGrid>
      <w:tr w:rsidR="009D1B4F" w:rsidTr="002B61FA">
        <w:trPr>
          <w:trHeight w:val="531"/>
        </w:trPr>
        <w:tc>
          <w:tcPr>
            <w:tcW w:w="2547" w:type="dxa"/>
            <w:vMerge w:val="restart"/>
          </w:tcPr>
          <w:p w:rsidR="009D1B4F" w:rsidRDefault="009D1B4F" w:rsidP="002B61FA">
            <w:pPr>
              <w:pStyle w:val="Texto"/>
            </w:pPr>
            <w:r>
              <w:t>Personal de SUSALUD</w:t>
            </w: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Poblaciones lejanas con poca o nula conectividad.</w:t>
            </w:r>
          </w:p>
        </w:tc>
      </w:tr>
      <w:tr w:rsidR="009D1B4F" w:rsidTr="002B61FA">
        <w:trPr>
          <w:trHeight w:val="486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Mala gestión de recursos económicos por parte de IPRESS.</w:t>
            </w:r>
          </w:p>
        </w:tc>
      </w:tr>
      <w:tr w:rsidR="009D1B4F" w:rsidTr="002B61FA">
        <w:trPr>
          <w:trHeight w:val="441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Personas no letradas.</w:t>
            </w:r>
          </w:p>
        </w:tc>
      </w:tr>
      <w:tr w:rsidR="009D1B4F" w:rsidTr="002B61FA">
        <w:trPr>
          <w:trHeight w:val="576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No hay procedimientos claros sobre cómo reaccionar para resolver reclamos.</w:t>
            </w:r>
          </w:p>
        </w:tc>
      </w:tr>
      <w:tr w:rsidR="009D1B4F" w:rsidTr="002B61FA">
        <w:trPr>
          <w:trHeight w:val="515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Reclamos son vistos como trabas u ofensas hacia el personal prestador de salud.</w:t>
            </w:r>
          </w:p>
        </w:tc>
      </w:tr>
      <w:tr w:rsidR="009D1B4F" w:rsidTr="002B61FA">
        <w:trPr>
          <w:trHeight w:val="576"/>
        </w:trPr>
        <w:tc>
          <w:tcPr>
            <w:tcW w:w="2547" w:type="dxa"/>
            <w:vMerge w:val="restart"/>
          </w:tcPr>
          <w:p w:rsidR="009D1B4F" w:rsidRDefault="009D1B4F" w:rsidP="002B61FA">
            <w:pPr>
              <w:pStyle w:val="Texto"/>
            </w:pPr>
            <w:r>
              <w:t>Gestores de IPRESS</w:t>
            </w: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Reclamos son vistos de manera negativa.</w:t>
            </w:r>
          </w:p>
        </w:tc>
      </w:tr>
      <w:tr w:rsidR="009D1B4F" w:rsidTr="002B61FA">
        <w:trPr>
          <w:trHeight w:val="441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Falta de comunicación con SUSALUD.</w:t>
            </w:r>
          </w:p>
        </w:tc>
      </w:tr>
      <w:tr w:rsidR="009D1B4F" w:rsidTr="002B61FA">
        <w:trPr>
          <w:trHeight w:val="471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Excesiva delegación para resolución de reclamos.</w:t>
            </w:r>
          </w:p>
        </w:tc>
      </w:tr>
      <w:tr w:rsidR="009D1B4F" w:rsidTr="002B61FA">
        <w:trPr>
          <w:trHeight w:val="561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Procesos largos para resolución de reclamos.</w:t>
            </w:r>
          </w:p>
        </w:tc>
      </w:tr>
      <w:tr w:rsidR="009D1B4F" w:rsidTr="002B61FA">
        <w:trPr>
          <w:trHeight w:val="546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Ciudadanos que reclaman con frecuencia sin sustento.</w:t>
            </w:r>
          </w:p>
        </w:tc>
      </w:tr>
      <w:tr w:rsidR="009D1B4F" w:rsidTr="002B61FA">
        <w:trPr>
          <w:trHeight w:val="470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Resolución de reclamos de manera aislada y sin identificación del problema en trasfondo.</w:t>
            </w:r>
          </w:p>
        </w:tc>
      </w:tr>
      <w:tr w:rsidR="009D1B4F" w:rsidTr="002B61FA">
        <w:trPr>
          <w:trHeight w:val="531"/>
        </w:trPr>
        <w:tc>
          <w:tcPr>
            <w:tcW w:w="2547" w:type="dxa"/>
            <w:vMerge w:val="restart"/>
          </w:tcPr>
          <w:p w:rsidR="009D1B4F" w:rsidRDefault="009D1B4F" w:rsidP="002B61FA">
            <w:pPr>
              <w:pStyle w:val="Texto"/>
            </w:pPr>
            <w:r>
              <w:t>Ciudadanos</w:t>
            </w: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Personas no proclives al uso de tecnología.</w:t>
            </w:r>
          </w:p>
        </w:tc>
      </w:tr>
      <w:tr w:rsidR="009D1B4F" w:rsidTr="002B61FA">
        <w:trPr>
          <w:trHeight w:val="486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Ciudadanos no sabe sobre que debe reclamar y que no.</w:t>
            </w:r>
          </w:p>
        </w:tc>
      </w:tr>
      <w:tr w:rsidR="009D1B4F" w:rsidTr="002B61FA">
        <w:trPr>
          <w:trHeight w:val="426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Poco contacto de las autoridades con reclamos presentados por ciudadanos.</w:t>
            </w:r>
          </w:p>
        </w:tc>
      </w:tr>
      <w:tr w:rsidR="009D1B4F" w:rsidTr="002B61FA">
        <w:trPr>
          <w:trHeight w:val="471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Falta de capacidad de decisión y de autonomía para resolución de reclamos en niveles bajos de atención.</w:t>
            </w:r>
          </w:p>
        </w:tc>
      </w:tr>
      <w:tr w:rsidR="009D1B4F" w:rsidTr="002B61FA">
        <w:trPr>
          <w:trHeight w:val="515"/>
        </w:trPr>
        <w:tc>
          <w:tcPr>
            <w:tcW w:w="2547" w:type="dxa"/>
            <w:vMerge/>
          </w:tcPr>
          <w:p w:rsidR="009D1B4F" w:rsidRDefault="009D1B4F" w:rsidP="002B61FA">
            <w:pPr>
              <w:pStyle w:val="Texto"/>
            </w:pPr>
          </w:p>
        </w:tc>
        <w:tc>
          <w:tcPr>
            <w:tcW w:w="5374" w:type="dxa"/>
          </w:tcPr>
          <w:p w:rsidR="009D1B4F" w:rsidRDefault="009D1B4F" w:rsidP="002B61FA">
            <w:pPr>
              <w:pStyle w:val="Texto"/>
            </w:pPr>
            <w:r>
              <w:t>Tiempos largos para resolución de reclamos.</w:t>
            </w:r>
          </w:p>
        </w:tc>
      </w:tr>
    </w:tbl>
    <w:p w:rsidR="0041032C" w:rsidRDefault="00B1571A"/>
    <w:p w:rsidR="00EE461E" w:rsidRDefault="00EE461E"/>
    <w:p w:rsidR="00EE461E" w:rsidRDefault="00EE461E"/>
    <w:p w:rsidR="00EE461E" w:rsidRDefault="00EE461E"/>
    <w:p w:rsidR="00EE461E" w:rsidRDefault="00EE461E"/>
    <w:p w:rsidR="00EE461E" w:rsidRDefault="00EE461E"/>
    <w:p w:rsidR="00EE461E" w:rsidRDefault="00EE461E"/>
    <w:p w:rsidR="00EE461E" w:rsidRDefault="00EE461E"/>
    <w:p w:rsidR="00EE461E" w:rsidRDefault="00EE461E"/>
    <w:p w:rsidR="00EE461E" w:rsidRDefault="00EE461E"/>
    <w:p w:rsidR="00EE461E" w:rsidRDefault="00EE461E"/>
    <w:p w:rsidR="00EE461E" w:rsidRDefault="00EE461E"/>
    <w:p w:rsidR="00EE461E" w:rsidRDefault="00EE461E"/>
    <w:p w:rsidR="00EE461E" w:rsidRDefault="00EE461E"/>
    <w:p w:rsidR="00EE461E" w:rsidRDefault="00EE461E"/>
    <w:p w:rsidR="00EE461E" w:rsidRDefault="00EE461E"/>
    <w:p w:rsidR="00EE461E" w:rsidRDefault="00EE461E"/>
    <w:p w:rsidR="00EE461E" w:rsidRDefault="00EE461E"/>
    <w:p w:rsidR="00EE461E" w:rsidRDefault="00EE461E"/>
    <w:p w:rsidR="00BE0C56" w:rsidRDefault="00BE0C56"/>
    <w:p w:rsidR="00BE0C56" w:rsidRDefault="00BE0C56"/>
    <w:sectPr w:rsidR="00BE0C56" w:rsidSect="00A371F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E243A"/>
    <w:multiLevelType w:val="hybridMultilevel"/>
    <w:tmpl w:val="F9829DBA"/>
    <w:lvl w:ilvl="0" w:tplc="B8B6D72E">
      <w:start w:val="1"/>
      <w:numFmt w:val="lowerLetter"/>
      <w:pStyle w:val="Ttulo4"/>
      <w:lvlText w:val="%1)"/>
      <w:lvlJc w:val="left"/>
      <w:pPr>
        <w:ind w:left="17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8" w:hanging="360"/>
      </w:pPr>
    </w:lvl>
    <w:lvl w:ilvl="2" w:tplc="280A001B" w:tentative="1">
      <w:start w:val="1"/>
      <w:numFmt w:val="lowerRoman"/>
      <w:lvlText w:val="%3."/>
      <w:lvlJc w:val="right"/>
      <w:pPr>
        <w:ind w:left="3218" w:hanging="180"/>
      </w:pPr>
    </w:lvl>
    <w:lvl w:ilvl="3" w:tplc="280A000F" w:tentative="1">
      <w:start w:val="1"/>
      <w:numFmt w:val="decimal"/>
      <w:lvlText w:val="%4."/>
      <w:lvlJc w:val="left"/>
      <w:pPr>
        <w:ind w:left="3938" w:hanging="360"/>
      </w:pPr>
    </w:lvl>
    <w:lvl w:ilvl="4" w:tplc="280A0019" w:tentative="1">
      <w:start w:val="1"/>
      <w:numFmt w:val="lowerLetter"/>
      <w:lvlText w:val="%5."/>
      <w:lvlJc w:val="left"/>
      <w:pPr>
        <w:ind w:left="4658" w:hanging="360"/>
      </w:pPr>
    </w:lvl>
    <w:lvl w:ilvl="5" w:tplc="280A001B" w:tentative="1">
      <w:start w:val="1"/>
      <w:numFmt w:val="lowerRoman"/>
      <w:lvlText w:val="%6."/>
      <w:lvlJc w:val="right"/>
      <w:pPr>
        <w:ind w:left="5378" w:hanging="180"/>
      </w:pPr>
    </w:lvl>
    <w:lvl w:ilvl="6" w:tplc="280A000F" w:tentative="1">
      <w:start w:val="1"/>
      <w:numFmt w:val="decimal"/>
      <w:lvlText w:val="%7."/>
      <w:lvlJc w:val="left"/>
      <w:pPr>
        <w:ind w:left="6098" w:hanging="360"/>
      </w:pPr>
    </w:lvl>
    <w:lvl w:ilvl="7" w:tplc="280A0019" w:tentative="1">
      <w:start w:val="1"/>
      <w:numFmt w:val="lowerLetter"/>
      <w:lvlText w:val="%8."/>
      <w:lvlJc w:val="left"/>
      <w:pPr>
        <w:ind w:left="6818" w:hanging="360"/>
      </w:pPr>
    </w:lvl>
    <w:lvl w:ilvl="8" w:tplc="280A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4F"/>
    <w:rsid w:val="000705E6"/>
    <w:rsid w:val="000F2119"/>
    <w:rsid w:val="002D0328"/>
    <w:rsid w:val="007053C2"/>
    <w:rsid w:val="009D1B4F"/>
    <w:rsid w:val="00A371FA"/>
    <w:rsid w:val="00B1571A"/>
    <w:rsid w:val="00BE0C56"/>
    <w:rsid w:val="00EE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A444C7"/>
  <w15:chartTrackingRefBased/>
  <w15:docId w15:val="{3648B814-A2D1-F645-BC37-3637F3D23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1B4F"/>
    <w:rPr>
      <w:rFonts w:ascii="Times New Roman" w:hAnsi="Times New Roman"/>
      <w:lang w:val="es-ES_tradnl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D1B4F"/>
    <w:pPr>
      <w:keepNext/>
      <w:keepLines/>
      <w:numPr>
        <w:numId w:val="1"/>
      </w:numPr>
      <w:spacing w:before="240" w:after="240" w:line="480" w:lineRule="auto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9D1B4F"/>
    <w:rPr>
      <w:rFonts w:ascii="Times New Roman" w:eastAsiaTheme="majorEastAsia" w:hAnsi="Times New Roman" w:cstheme="majorBidi"/>
      <w:i/>
      <w:iCs/>
      <w:color w:val="000000" w:themeColor="text1"/>
      <w:lang w:val="es-ES_tradnl"/>
    </w:rPr>
  </w:style>
  <w:style w:type="table" w:styleId="Tablaconcuadrcula">
    <w:name w:val="Table Grid"/>
    <w:basedOn w:val="Tablanormal"/>
    <w:uiPriority w:val="39"/>
    <w:rsid w:val="009D1B4F"/>
    <w:rPr>
      <w:rFonts w:ascii="Times New Roman" w:hAnsi="Times New Roman"/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Normal"/>
    <w:link w:val="TextoCar"/>
    <w:qFormat/>
    <w:rsid w:val="009D1B4F"/>
    <w:pPr>
      <w:spacing w:before="240" w:after="240" w:line="480" w:lineRule="auto"/>
      <w:jc w:val="both"/>
    </w:pPr>
    <w:rPr>
      <w:rFonts w:cs="Times New Roman"/>
      <w:lang w:val="es-ES"/>
    </w:rPr>
  </w:style>
  <w:style w:type="character" w:customStyle="1" w:styleId="TextoCar">
    <w:name w:val="Texto Car"/>
    <w:basedOn w:val="Fuentedeprrafopredeter"/>
    <w:link w:val="Texto"/>
    <w:rsid w:val="009D1B4F"/>
    <w:rPr>
      <w:rFonts w:ascii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659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2</cp:revision>
  <dcterms:created xsi:type="dcterms:W3CDTF">2018-07-30T02:34:00Z</dcterms:created>
  <dcterms:modified xsi:type="dcterms:W3CDTF">2018-07-31T03:15:00Z</dcterms:modified>
</cp:coreProperties>
</file>