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Documentação do Pinia no CTI Insights</w:t>
      </w:r>
    </w:p>
    <w:p>
      <w:pPr>
        <w:pStyle w:val="FirstParagraph"/>
      </w:pPr>
      <w:r>
        <w:rPr>
          <w:b/>
          <w:bCs/>
        </w:rPr>
        <w:t xml:space="preserve">Aluno:</w:t>
      </w:r>
      <w:r>
        <w:t xml:space="preserve"> </w:t>
      </w:r>
      <w:r>
        <w:t xml:space="preserve">____________________________________</w:t>
      </w:r>
      <w:r>
        <w:br/>
      </w:r>
      <w:r>
        <w:rPr>
          <w:b/>
          <w:bCs/>
        </w:rPr>
        <w:t xml:space="preserve">RA:</w:t>
      </w:r>
      <w:r>
        <w:t xml:space="preserve"> </w:t>
      </w:r>
      <w:r>
        <w:t xml:space="preserve">_______________________________________</w:t>
      </w:r>
      <w:r>
        <w:br/>
      </w:r>
      <w:r>
        <w:rPr>
          <w:b/>
          <w:bCs/>
        </w:rPr>
        <w:t xml:space="preserve">Curso e turma:</w:t>
      </w:r>
      <w:r>
        <w:t xml:space="preserve"> </w:t>
      </w:r>
      <w:r>
        <w:t xml:space="preserve">______________________________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8 de outubro de 2026</w:t>
      </w:r>
    </w:p>
    <w:bookmarkStart w:id="9" w:name="objetivo"/>
    <w:p>
      <w:pPr>
        <w:pStyle w:val="Heading1"/>
      </w:pPr>
      <w:r>
        <w:t xml:space="preserve">1 Objetivo</w:t>
      </w:r>
    </w:p>
    <w:p>
      <w:pPr>
        <w:pStyle w:val="FirstParagraph"/>
      </w:pPr>
      <w:r>
        <w:t xml:space="preserve">Esta documentação explica como o CTI Insights utiliza o Pinia para compartilhar os dados de clientes entre telas Vue. A store de upload centraliza a importação de planilhas, os resultados da validação e os indicadores. Assim, diferentes componentes consultam a mesma base sem repetir o processamento do arquivo.</w:t>
      </w:r>
    </w:p>
    <w:p>
      <w:pPr>
        <w:pStyle w:val="BodyText"/>
      </w:pPr>
      <w:r>
        <w:t xml:space="preserve">O Pinia gerencia o estado do frontend. O processamento de planilhas deste projeto funciona no navegador, sem depender de backend. O login e o cadastro atuais são demonstrativos e não oferecem autenticação real.</w:t>
      </w:r>
    </w:p>
    <w:bookmarkEnd w:id="9"/>
    <w:bookmarkStart w:id="10" w:name="conceitos-fundamentais"/>
    <w:p>
      <w:pPr>
        <w:pStyle w:val="Heading1"/>
      </w:pPr>
      <w:r>
        <w:t xml:space="preserve">2 Conceitos fundamentais</w:t>
      </w:r>
    </w:p>
    <w:p>
      <w:pPr>
        <w:pStyle w:val="FirstParagraph"/>
      </w:pPr>
      <w:r>
        <w:t xml:space="preserve">Uma store reúne dados compartilhados e as operações que os modificam. Neste projeto foi adotado o formato Setup Store, compatível com a Composition API do Vue. Nesse formato, os valores criados com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representam o estado, os valores criados com</w:t>
      </w:r>
      <w:r>
        <w:t xml:space="preserve"> </w:t>
      </w:r>
      <w:r>
        <w:rPr>
          <w:rStyle w:val="VerbatimChar"/>
        </w:rPr>
        <w:t xml:space="preserve">computed</w:t>
      </w:r>
      <w:r>
        <w:t xml:space="preserve"> </w:t>
      </w:r>
      <w:r>
        <w:t xml:space="preserve">representam getters e as funções representam actions. Esses elementos precisam ser retornados pela função da store para ficarem acessíveis aos consumidores.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Exemplo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Manter dados que mudam durante o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nomeArquivo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carregando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t xml:space="preserve">Calcular informações a partir do 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totalValidas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faturamentoTotal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Executar operações e alterar o 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importarPlanilha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limpar</w:t>
            </w:r>
          </w:p>
        </w:tc>
      </w:tr>
    </w:tbl>
    <w:p>
      <w:pPr>
        <w:pStyle w:val="BodyText"/>
      </w:pPr>
      <w:r>
        <w:t xml:space="preserve">O Pinia permite compartilhar estado entre componentes e páginas. Ele não substitui uma API, um banco de dados ou a validação de permissões no servidor. [2]</w:t>
      </w:r>
    </w:p>
    <w:bookmarkEnd w:id="10"/>
    <w:bookmarkStart w:id="11" w:name="instalação-e-inicialização"/>
    <w:p>
      <w:pPr>
        <w:pStyle w:val="Heading1"/>
      </w:pPr>
      <w:r>
        <w:t xml:space="preserve">3 Instalação e inicialização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já declara a dependência</w:t>
      </w:r>
      <w:r>
        <w:t xml:space="preserve"> </w:t>
      </w:r>
      <w:r>
        <w:rPr>
          <w:rStyle w:val="VerbatimChar"/>
        </w:rPr>
        <w:t xml:space="preserve">pinia</w:t>
      </w:r>
      <w:r>
        <w:t xml:space="preserve">. Para instalar as dependências existentes e iniciar o projeto, execute na raiz: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NormalTok"/>
        </w:rPr>
        <w:t xml:space="preserve">npm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install</w:t>
      </w:r>
      <w:r>
        <w:br/>
      </w:r>
      <w:r>
        <w:rPr>
          <w:rStyle w:val="NormalTok"/>
        </w:rPr>
        <w:t xml:space="preserve">npm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 resultado esperado é o Vite mostrar o endereço local da aplicação. Use o endereço exibido no terminal, pois a porta pode variar. No PowerShell,</w:t>
      </w:r>
      <w:r>
        <w:t xml:space="preserve"> </w:t>
      </w:r>
      <w:r>
        <w:rPr>
          <w:rStyle w:val="VerbatimChar"/>
        </w:rPr>
        <w:t xml:space="preserve">npm.cmd</w:t>
      </w:r>
      <w:r>
        <w:t xml:space="preserve"> </w:t>
      </w:r>
      <w:r>
        <w:t xml:space="preserve">evita a dependência da execução do script</w:t>
      </w:r>
      <w:r>
        <w:t xml:space="preserve"> </w:t>
      </w:r>
      <w:r>
        <w:rPr>
          <w:rStyle w:val="VerbatimChar"/>
        </w:rPr>
        <w:t xml:space="preserve">npm.ps1</w:t>
      </w:r>
      <w:r>
        <w:t xml:space="preserve">.</w:t>
      </w:r>
    </w:p>
    <w:p>
      <w:pPr>
        <w:pStyle w:val="BodyText"/>
      </w:pPr>
      <w:r>
        <w:t xml:space="preserve">A inicialização está em</w:t>
      </w:r>
      <w:r>
        <w:t xml:space="preserve"> </w:t>
      </w:r>
      <w:r>
        <w:rPr>
          <w:rStyle w:val="VerbatimChar"/>
        </w:rPr>
        <w:t xml:space="preserve">FrontEnd/src/main.js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createPinia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(router)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 plugin do Pinia é registrado antes da montagem da aplicação, tornando as stores disponíveis aos componentes.</w:t>
      </w:r>
    </w:p>
    <w:bookmarkEnd w:id="11"/>
    <w:bookmarkStart w:id="12" w:name="organização-dos-arquivos"/>
    <w:p>
      <w:pPr>
        <w:pStyle w:val="Heading1"/>
      </w:pPr>
      <w:r>
        <w:t xml:space="preserve">4 Organização dos arquivos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 em FrontEnd/src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</w:pPr>
            <w:r>
              <w:t xml:space="preserve">Registrar o Pinia na aplicação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stores/uploadStore.js</w:t>
            </w:r>
          </w:p>
        </w:tc>
        <w:tc>
          <w:tcPr/>
          <w:p>
            <w:pPr>
              <w:pStyle w:val="Compact"/>
            </w:pPr>
            <w:r>
              <w:t xml:space="preserve">Definir a store principal de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router/store/uploadstore.js</w:t>
            </w:r>
          </w:p>
        </w:tc>
        <w:tc>
          <w:tcPr/>
          <w:p>
            <w:pPr>
              <w:pStyle w:val="Compact"/>
            </w:pPr>
            <w:r>
              <w:t xml:space="preserve">Reexportar a store para compatibilidade com o caminho antigo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composables/useClientes.js</w:t>
            </w:r>
          </w:p>
        </w:tc>
        <w:tc>
          <w:tcPr/>
          <w:p>
            <w:pPr>
              <w:pStyle w:val="Compact"/>
            </w:pPr>
            <w:r>
              <w:t xml:space="preserve">Expor referências reativas e actions da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views/UploadView.vue</w:t>
            </w:r>
          </w:p>
        </w:tc>
        <w:tc>
          <w:tcPr/>
          <w:p>
            <w:pPr>
              <w:pStyle w:val="Compact"/>
            </w:pPr>
            <w:r>
              <w:t xml:space="preserve">Selecionar e processar planilhas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views/RelatoriosView.vue</w:t>
            </w:r>
          </w:p>
        </w:tc>
        <w:tc>
          <w:tcPr/>
          <w:p>
            <w:pPr>
              <w:pStyle w:val="Compact"/>
            </w:pPr>
            <w:r>
              <w:t xml:space="preserve">Consumir dados para relatórios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views/GraficosView.vue</w:t>
            </w:r>
          </w:p>
        </w:tc>
        <w:tc>
          <w:tcPr/>
          <w:p>
            <w:pPr>
              <w:pStyle w:val="Compact"/>
            </w:pPr>
            <w:r>
              <w:t xml:space="preserve">Consumir dados para gráficos e indicadores</w:t>
            </w:r>
          </w:p>
        </w:tc>
      </w:tr>
    </w:tbl>
    <w:p>
      <w:pPr>
        <w:pStyle w:val="BodyText"/>
      </w:pPr>
      <w:r>
        <w:t xml:space="preserve">O arquivo de compatibilidade não cria uma segunda store. A implementação central permanece em</w:t>
      </w:r>
      <w:r>
        <w:t xml:space="preserve"> </w:t>
      </w:r>
      <w:r>
        <w:rPr>
          <w:rStyle w:val="VerbatimChar"/>
        </w:rPr>
        <w:t xml:space="preserve">stores/uploadStore.js</w:t>
      </w:r>
      <w:r>
        <w:t xml:space="preserve">.</w:t>
      </w:r>
    </w:p>
    <w:bookmarkEnd w:id="12"/>
    <w:bookmarkStart w:id="13" w:name="estado-da-store-de-upload"/>
    <w:p>
      <w:pPr>
        <w:pStyle w:val="Heading1"/>
      </w:pPr>
      <w:r>
        <w:t xml:space="preserve">5 Estado da store de upload</w:t>
      </w:r>
    </w:p>
    <w:p>
      <w:pPr>
        <w:pStyle w:val="FirstParagraph"/>
      </w:pPr>
      <w:r>
        <w:t xml:space="preserve">A store é definida com</w:t>
      </w:r>
      <w:r>
        <w:t xml:space="preserve"> </w:t>
      </w:r>
      <w:r>
        <w:rPr>
          <w:rStyle w:val="VerbatimChar"/>
        </w:rPr>
        <w:t xml:space="preserve">defineStore('upload', () =&gt; { ... })</w:t>
      </w:r>
      <w:r>
        <w:t xml:space="preserve">. O identificador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distingue esta store dentro da aplicação.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Objeto do arquivo selecionado, mantido com</w:t>
            </w:r>
            <w:r>
              <w:t xml:space="preserve"> </w:t>
            </w:r>
            <w:r>
              <w:rPr>
                <w:rStyle w:val="VerbatimChar"/>
              </w:rPr>
              <w:t xml:space="preserve">shallowRef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Registros normalizados, incluindo os registros inválidos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dadosOriginais</w:t>
            </w:r>
          </w:p>
        </w:tc>
        <w:tc>
          <w:tcPr/>
          <w:p>
            <w:pPr>
              <w:pStyle w:val="Compact"/>
            </w:pPr>
            <w:r>
              <w:t xml:space="preserve">Dados lidos antes da apresentação dos resultados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resumo</w:t>
            </w:r>
          </w:p>
        </w:tc>
        <w:tc>
          <w:tcPr/>
          <w:p>
            <w:pPr>
              <w:pStyle w:val="Compact"/>
            </w:pPr>
            <w:r>
              <w:t xml:space="preserve">Ocorrências de validação e contagens da importação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nomeArquivo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dataUpload</w:t>
            </w:r>
          </w:p>
        </w:tc>
        <w:tc>
          <w:tcPr/>
          <w:p>
            <w:pPr>
              <w:pStyle w:val="Compact"/>
            </w:pPr>
            <w:r>
              <w:t xml:space="preserve">Nome do arquivo e momento do processamento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totalColunas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periodoFaturamento</w:t>
            </w:r>
          </w:p>
        </w:tc>
        <w:tc>
          <w:tcPr/>
          <w:p>
            <w:pPr>
              <w:pStyle w:val="Compact"/>
            </w:pPr>
            <w:r>
              <w:t xml:space="preserve">Metadados da planilha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carregando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Estado da operação e mensagem de falha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shallowRef</w:t>
      </w:r>
      <w:r>
        <w:t xml:space="preserve"> </w:t>
      </w:r>
      <w:r>
        <w:t xml:space="preserve">mantém a referência ao objeto File sem tornar suas propriedades profundamente reativas. A variável interna</w:t>
      </w:r>
      <w:r>
        <w:t xml:space="preserve"> </w:t>
      </w:r>
      <w:r>
        <w:rPr>
          <w:rStyle w:val="VerbatimChar"/>
        </w:rPr>
        <w:t xml:space="preserve">operacao</w:t>
      </w:r>
      <w:r>
        <w:t xml:space="preserve"> </w:t>
      </w:r>
      <w:r>
        <w:t xml:space="preserve">controla o processamento: quando a base é limpa, um resultado pendente de uma operação anterior não deve voltar a preencher os dados.</w:t>
      </w:r>
    </w:p>
    <w:bookmarkEnd w:id="13"/>
    <w:bookmarkStart w:id="14" w:name="getters-e-indicadores"/>
    <w:p>
      <w:pPr>
        <w:pStyle w:val="Heading1"/>
      </w:pPr>
      <w:r>
        <w:t xml:space="preserve">6 Getters e indicadores</w:t>
      </w:r>
    </w:p>
    <w:p>
      <w:pPr>
        <w:pStyle w:val="FirstParagraph"/>
      </w:pPr>
      <w:r>
        <w:t xml:space="preserve">Os getters são declarados com</w:t>
      </w:r>
      <w:r>
        <w:t xml:space="preserve"> </w:t>
      </w:r>
      <w:r>
        <w:rPr>
          <w:rStyle w:val="VerbatimChar"/>
        </w:rPr>
        <w:t xml:space="preserve">computed</w:t>
      </w:r>
      <w:r>
        <w:t xml:space="preserve">. Eles acompanham as mudanças das dependências reativas e oferecem informações derivadas do estado.</w:t>
      </w:r>
    </w:p>
    <w:p>
      <w:pPr>
        <w:pStyle w:val="BodyText"/>
      </w:pPr>
      <w:r>
        <w:rPr>
          <w:rStyle w:val="VerbatimChar"/>
        </w:rPr>
        <w:t xml:space="preserve">temDados</w:t>
      </w:r>
      <w:r>
        <w:t xml:space="preserve"> </w:t>
      </w:r>
      <w:r>
        <w:t xml:space="preserve">verifica se há clientes importados.</w:t>
      </w:r>
      <w:r>
        <w:t xml:space="preserve"> </w:t>
      </w:r>
      <w:r>
        <w:rPr>
          <w:rStyle w:val="VerbatimChar"/>
        </w:rPr>
        <w:t xml:space="preserve">usandoExemplo</w:t>
      </w:r>
      <w:r>
        <w:t xml:space="preserve"> </w:t>
      </w:r>
      <w:r>
        <w:t xml:space="preserve">indica a ausência dessa base.</w:t>
      </w:r>
      <w:r>
        <w:t xml:space="preserve"> </w:t>
      </w:r>
      <w:r>
        <w:rPr>
          <w:rStyle w:val="VerbatimChar"/>
        </w:rPr>
        <w:t xml:space="preserve">clientesExibidos</w:t>
      </w:r>
      <w:r>
        <w:t xml:space="preserve"> </w:t>
      </w:r>
      <w:r>
        <w:t xml:space="preserve">devolve a base importada ou cinco registros demonstrativos.</w:t>
      </w:r>
      <w:r>
        <w:t xml:space="preserve"> </w:t>
      </w:r>
      <w:r>
        <w:rPr>
          <w:rStyle w:val="VerbatimChar"/>
        </w:rPr>
        <w:t xml:space="preserve">clientesValidos</w:t>
      </w:r>
      <w:r>
        <w:t xml:space="preserve"> </w:t>
      </w:r>
      <w:r>
        <w:t xml:space="preserve">filtra os registros válidos dessa lista para calcular os indicadores.</w:t>
      </w:r>
    </w:p>
    <w:p>
      <w:pPr>
        <w:pStyle w:val="BodyText"/>
      </w:pPr>
      <w:r>
        <w:t xml:space="preserve">O getter</w:t>
      </w:r>
      <w:r>
        <w:t xml:space="preserve"> </w:t>
      </w:r>
      <w:r>
        <w:rPr>
          <w:rStyle w:val="VerbatimChar"/>
        </w:rPr>
        <w:t xml:space="preserve">faturamentoTotal</w:t>
      </w:r>
      <w:r>
        <w:t xml:space="preserve"> </w:t>
      </w:r>
      <w:r>
        <w:t xml:space="preserve">soma o faturamento dos clientes válidos, enquanto</w:t>
      </w:r>
      <w:r>
        <w:t xml:space="preserve"> </w:t>
      </w:r>
      <w:r>
        <w:rPr>
          <w:rStyle w:val="VerbatimChar"/>
        </w:rPr>
        <w:t xml:space="preserve">faturamentoPorSegmento</w:t>
      </w:r>
      <w:r>
        <w:t xml:space="preserve"> </w:t>
      </w:r>
      <w:r>
        <w:t xml:space="preserve">agrupa os valores por segmento e seleciona os dez maiores totais.</w:t>
      </w:r>
      <w:r>
        <w:t xml:space="preserve"> </w:t>
      </w:r>
      <w:r>
        <w:rPr>
          <w:rStyle w:val="VerbatimChar"/>
        </w:rPr>
        <w:t xml:space="preserve">indicadores</w:t>
      </w:r>
      <w:r>
        <w:t xml:space="preserve"> </w:t>
      </w:r>
      <w:r>
        <w:t xml:space="preserve">apresenta a quantidade de clientes válidos, o faturamento médio e os registros ativos.</w:t>
      </w:r>
    </w:p>
    <w:p>
      <w:pPr>
        <w:pStyle w:val="BodyText"/>
      </w:pPr>
      <w:r>
        <w:t xml:space="preserve">Há uma diferença prática entre os getters:</w:t>
      </w:r>
      <w:r>
        <w:t xml:space="preserve"> </w:t>
      </w:r>
      <w:r>
        <w:rPr>
          <w:rStyle w:val="VerbatimChar"/>
        </w:rPr>
        <w:t xml:space="preserve">totalValidas</w:t>
      </w:r>
      <w:r>
        <w:t xml:space="preserve"> </w:t>
      </w:r>
      <w:r>
        <w:t xml:space="preserve">conta apenas registros efetivamente importados;</w:t>
      </w:r>
      <w:r>
        <w:t xml:space="preserve"> </w:t>
      </w:r>
      <w:r>
        <w:rPr>
          <w:rStyle w:val="VerbatimChar"/>
        </w:rPr>
        <w:t xml:space="preserve">clientesValidos</w:t>
      </w:r>
      <w:r>
        <w:t xml:space="preserve"> </w:t>
      </w:r>
      <w:r>
        <w:t xml:space="preserve">pode utilizar a amostra. Sem uma importação,</w:t>
      </w:r>
      <w:r>
        <w:t xml:space="preserve"> </w:t>
      </w:r>
      <w:r>
        <w:rPr>
          <w:rStyle w:val="VerbatimChar"/>
        </w:rPr>
        <w:t xml:space="preserve">totalValidas</w:t>
      </w:r>
      <w:r>
        <w:t xml:space="preserve"> </w:t>
      </w:r>
      <w:r>
        <w:t xml:space="preserve">é zero, mesmo que os indicadores exibam dados de demonstração. Além disso, erros são ocorrências: uma única linha pode apresentar mais de um erro.</w:t>
      </w:r>
    </w:p>
    <w:bookmarkEnd w:id="14"/>
    <w:bookmarkStart w:id="15" w:name="actions-e-fluxo-de-importação"/>
    <w:p>
      <w:pPr>
        <w:pStyle w:val="Heading1"/>
      </w:pPr>
      <w:r>
        <w:t xml:space="preserve">7 Actions e fluxo de importação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selecionarArquivo(novo)</w:t>
      </w:r>
      <w:r>
        <w:t xml:space="preserve"> </w:t>
      </w:r>
      <w:r>
        <w:t xml:space="preserve">aceita arquivos com extensão XLSX, XLS ou CSV e rejeita extensões diferentes. Durante o carregamento, uma nova seleção é bloqueada.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processarPlanilha()</w:t>
      </w:r>
      <w:r>
        <w:t xml:space="preserve"> </w:t>
      </w:r>
      <w:r>
        <w:t xml:space="preserve">encaminha o arquivo selecionado para</w:t>
      </w:r>
      <w:r>
        <w:t xml:space="preserve"> </w:t>
      </w:r>
      <w:r>
        <w:rPr>
          <w:rStyle w:val="VerbatimChar"/>
        </w:rPr>
        <w:t xml:space="preserve">importarPlanilha(arquivoSelecionado)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importarPlanilha</w:t>
      </w:r>
      <w:r>
        <w:t xml:space="preserve"> </w:t>
      </w:r>
      <w:r>
        <w:t xml:space="preserve">valida a seleção e ativa</w:t>
      </w:r>
      <w:r>
        <w:t xml:space="preserve"> </w:t>
      </w:r>
      <w:r>
        <w:rPr>
          <w:rStyle w:val="VerbatimChar"/>
        </w:rPr>
        <w:t xml:space="preserve">carregando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lerPlanilha</w:t>
      </w:r>
      <w:r>
        <w:t xml:space="preserve">, em</w:t>
      </w:r>
      <w:r>
        <w:t xml:space="preserve"> </w:t>
      </w:r>
      <w:r>
        <w:rPr>
          <w:rStyle w:val="VerbatimChar"/>
        </w:rPr>
        <w:t xml:space="preserve">utils/planilha.js</w:t>
      </w:r>
      <w:r>
        <w:t xml:space="preserve">, realiza a leitura e devolve registros, erros, resumo e metadados.</w:t>
      </w:r>
    </w:p>
    <w:p>
      <w:pPr>
        <w:pStyle w:val="Compact"/>
        <w:numPr>
          <w:ilvl w:val="0"/>
          <w:numId w:val="1001"/>
        </w:numPr>
      </w:pPr>
      <w:r>
        <w:t xml:space="preserve">A action atualiza o estado e tenta gravar os resultados em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Os getters refletem a base atualizada e as telas consumidoras acompanham as mudanças.</w:t>
      </w:r>
    </w:p>
    <w:p>
      <w:pPr>
        <w:pStyle w:val="FirstParagraph"/>
      </w:pPr>
      <w:r>
        <w:t xml:space="preserve">O retorno da importação é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em caso de sucesso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em caso de falha ou operação descartada. A action informa a falha por</w:t>
      </w:r>
      <w:r>
        <w:t xml:space="preserve"> </w:t>
      </w:r>
      <w:r>
        <w:rPr>
          <w:rStyle w:val="VerbatimChar"/>
        </w:rPr>
        <w:t xml:space="preserve">erro</w:t>
      </w:r>
      <w:r>
        <w:t xml:space="preserve"> </w:t>
      </w:r>
      <w:r>
        <w:t xml:space="preserve">e encerra o carregamento da operação vigente no bloco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 A extensão aceita não garante que o conteúdo da planilha seja válido.</w:t>
      </w:r>
    </w:p>
    <w:p>
      <w:pPr>
        <w:pStyle w:val="BodyText"/>
      </w:pPr>
      <w:r>
        <w:rPr>
          <w:rStyle w:val="VerbatimChar"/>
        </w:rPr>
        <w:t xml:space="preserve">limpar()</w:t>
      </w:r>
      <w:r>
        <w:t xml:space="preserve"> </w:t>
      </w:r>
      <w:r>
        <w:t xml:space="preserve">esvazia a base, remove a persistência da sessão e invalida resultados pendentes. Como esta é uma Setup Store, a limpeza do projeto foi implementada explicitamente; os componentes devem chamar</w:t>
      </w:r>
      <w:r>
        <w:t xml:space="preserve"> </w:t>
      </w:r>
      <w:r>
        <w:rPr>
          <w:rStyle w:val="VerbatimChar"/>
        </w:rPr>
        <w:t xml:space="preserve">store.limpar()</w:t>
      </w:r>
      <w:r>
        <w:t xml:space="preserve">.</w:t>
      </w:r>
    </w:p>
    <w:bookmarkEnd w:id="15"/>
    <w:bookmarkStart w:id="16" w:name="uso-em-componentes-vue"/>
    <w:p>
      <w:pPr>
        <w:pStyle w:val="Heading1"/>
      </w:pPr>
      <w:r>
        <w:t xml:space="preserve">8 Uso em componentes Vue</w:t>
      </w:r>
    </w:p>
    <w:p>
      <w:pPr>
        <w:pStyle w:val="FirstParagraph"/>
      </w:pPr>
      <w:r>
        <w:t xml:space="preserve">Para desestruturar estado e getters preservando a reatividade, utilize</w:t>
      </w:r>
      <w:r>
        <w:t xml:space="preserve"> </w:t>
      </w:r>
      <w:r>
        <w:rPr>
          <w:rStyle w:val="VerbatimChar"/>
        </w:rPr>
        <w:t xml:space="preserve">storeToRefs</w:t>
      </w:r>
      <w:r>
        <w:t xml:space="preserve">. Actions podem ser chamadas diretamente pela store. [1]</w:t>
      </w:r>
    </w:p>
    <w:p>
      <w:pPr>
        <w:pStyle w:val="BodyText"/>
      </w:pPr>
      <w:r>
        <w:t xml:space="preserve">Exemplo didático baseado nos nomes reais da implementação: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storeToRefs } from 'pinia'</w:t>
      </w:r>
      <w:r>
        <w:br/>
      </w:r>
      <w:r>
        <w:rPr>
          <w:rStyle w:val="VerbatimChar"/>
        </w:rPr>
        <w:t xml:space="preserve">import { useUploadStore } from '../stores/uploadStore.js'</w:t>
      </w:r>
      <w:r>
        <w:br/>
      </w:r>
      <w:r>
        <w:br/>
      </w:r>
      <w:r>
        <w:rPr>
          <w:rStyle w:val="VerbatimChar"/>
        </w:rPr>
        <w:t xml:space="preserve">const store = useUploadStore()</w:t>
      </w:r>
      <w:r>
        <w:br/>
      </w:r>
      <w:r>
        <w:rPr>
          <w:rStyle w:val="VerbatimChar"/>
        </w:rPr>
        <w:t xml:space="preserve">const { totalValidas, carregando, erro } = storeToRefs(store)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&lt;p&gt;Clientes válidos importados: {{ totalValidas }}&lt;/p&gt;</w:t>
      </w:r>
      <w:r>
        <w:br/>
      </w:r>
      <w:r>
        <w:rPr>
          <w:rStyle w:val="VerbatimChar"/>
        </w:rPr>
        <w:t xml:space="preserve">  &lt;p v-if="erro" role="alert"&gt;{{ erro }}&lt;/p&gt;</w:t>
      </w:r>
      <w:r>
        <w:br/>
      </w:r>
      <w:r>
        <w:rPr>
          <w:rStyle w:val="VerbatimChar"/>
        </w:rPr>
        <w:t xml:space="preserve">  &lt;button :disabled="carregando" @click="store.limpar()"&gt;</w:t>
      </w:r>
      <w:r>
        <w:br/>
      </w:r>
      <w:r>
        <w:rPr>
          <w:rStyle w:val="VerbatimChar"/>
        </w:rPr>
        <w:t xml:space="preserve">    Limpar base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t xml:space="preserve">Dentro da definição da store, usa-se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t xml:space="preserve">para acessar refs em JavaScript. No acesso direto pela store, o Pinia disponibiliza os valores sem exigir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. No template, as refs também são desembrulhadas pelo Vue.</w:t>
      </w:r>
    </w:p>
    <w:bookmarkEnd w:id="16"/>
    <w:bookmarkStart w:id="17" w:name="persistência-e-integração-futura"/>
    <w:p>
      <w:pPr>
        <w:pStyle w:val="Heading1"/>
      </w:pPr>
      <w:r>
        <w:t xml:space="preserve">9 Persistência e integração futura</w:t>
      </w:r>
    </w:p>
    <w:p>
      <w:pPr>
        <w:pStyle w:val="FirstParagraph"/>
      </w:pPr>
      <w:r>
        <w:t xml:space="preserve">A persistência é implementada pelo próprio projeto com a chave</w:t>
      </w:r>
      <w:r>
        <w:t xml:space="preserve"> </w:t>
      </w:r>
      <w:r>
        <w:rPr>
          <w:rStyle w:val="VerbatimChar"/>
        </w:rPr>
        <w:t xml:space="preserve">cti-insights-clientes-v2</w:t>
      </w:r>
      <w:r>
        <w:t xml:space="preserve">. Não é um recurso automático de toda store Pinia. Uma atualização da página na mesma sessão pode restaurar os resultados salvos. Ao recuperar o JSON,</w:t>
      </w:r>
      <w:r>
        <w:t xml:space="preserve"> </w:t>
      </w:r>
      <w:r>
        <w:rPr>
          <w:rStyle w:val="VerbatimChar"/>
        </w:rPr>
        <w:t xml:space="preserve">dataInicio</w:t>
      </w:r>
      <w:r>
        <w:t xml:space="preserve"> </w:t>
      </w:r>
      <w:r>
        <w:t xml:space="preserve">é reconvertida para Date. O objeto File não é restaurado e deve ser selecionado novamente quando necessário.</w:t>
      </w:r>
    </w:p>
    <w:p>
      <w:pPr>
        <w:pStyle w:val="BodyText"/>
      </w:pPr>
      <w:r>
        <w:t xml:space="preserve">Se a gravação exceder a cota ou estiver indisponível, o processamento continua em memória. A implementação tenta remover uma base antiga para não restaurar resultados desatualizados.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não oferece armazenamento centralizado ou compartilhamento entre usuários.</w:t>
      </w:r>
    </w:p>
    <w:p>
      <w:pPr>
        <w:pStyle w:val="BodyText"/>
      </w:pPr>
      <w:r>
        <w:t xml:space="preserve">Para uma futura integração de cadastro e login, uma action poderá chamar a API e guardar o estado necessário da sessão conforme a arquitetura escolhida. As permissões e a autenticação real devem ser verificadas pelo backend. Atualmente,</w:t>
      </w:r>
      <w:r>
        <w:t xml:space="preserve"> </w:t>
      </w:r>
      <w:r>
        <w:rPr>
          <w:rStyle w:val="VerbatimChar"/>
        </w:rPr>
        <w:t xml:space="preserve">CadastroView.vue</w:t>
      </w:r>
      <w:r>
        <w:t xml:space="preserve"> </w:t>
      </w:r>
      <w:r>
        <w:t xml:space="preserve">utiliza refs locais, valida o formulário e não grava senhas nem cria contas. Não existe uma store de autenticação implementada neste projeto.</w:t>
      </w:r>
    </w:p>
    <w:bookmarkEnd w:id="17"/>
    <w:bookmarkStart w:id="18" w:name="verificação-e-resultados-esperados"/>
    <w:p>
      <w:pPr>
        <w:pStyle w:val="Heading1"/>
      </w:pPr>
      <w:r>
        <w:t xml:space="preserve">10 Verificação e resultados esperados</w:t>
      </w:r>
    </w:p>
    <w:p>
      <w:pPr>
        <w:pStyle w:val="FirstParagraph"/>
      </w:pPr>
      <w:r>
        <w:t xml:space="preserve">Na pasta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execute:</w:t>
      </w:r>
    </w:p>
    <w:p>
      <w:pPr>
        <w:pStyle w:val="SourceCode"/>
      </w:pPr>
      <w:r>
        <w:rPr>
          <w:rStyle w:val="NormalTok"/>
        </w:rPr>
        <w:t xml:space="preserve">npm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npm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Caso o executor de testes apresente</w:t>
      </w:r>
      <w:r>
        <w:t xml:space="preserve"> </w:t>
      </w:r>
      <w:r>
        <w:rPr>
          <w:rStyle w:val="VerbatimChar"/>
        </w:rPr>
        <w:t xml:space="preserve">spawn EPERM</w:t>
      </w:r>
      <w:r>
        <w:t xml:space="preserve"> </w:t>
      </w:r>
      <w:r>
        <w:t xml:space="preserve">no ambiente restrito, a alternativa utilizada nesta verificação foi: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test-isolation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tests</w:t>
      </w:r>
      <w:r>
        <w:rPr>
          <w:rStyle w:val="OperatorTok"/>
        </w:rPr>
        <w:t xml:space="preserve">/*.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</w:p>
    <w:p>
      <w:pPr>
        <w:pStyle w:val="FirstParagraph"/>
      </w:pPr>
      <w:r>
        <w:t xml:space="preserve">Resultado observado em 8 de outubro de 2026: sete testes passaram, sem falhas. A opção acima executa os testes sem isolamento por processo. O teste da store, quando a base oficial está presente, verifica 300 registros importados, 265 clientes válidos e 37 ocorrências de erro.</w:t>
      </w:r>
    </w:p>
    <w:p>
      <w:pPr>
        <w:pStyle w:val="BodyText"/>
      </w:pPr>
      <w:r>
        <w:t xml:space="preserve">Para reproduzir a apresentação, abra</w:t>
      </w:r>
      <w:r>
        <w:t xml:space="preserve"> </w:t>
      </w:r>
      <w:r>
        <w:rPr>
          <w:rStyle w:val="VerbatimChar"/>
        </w:rPr>
        <w:t xml:space="preserve">/app/upload</w:t>
      </w:r>
      <w:r>
        <w:t xml:space="preserve">, selecione</w:t>
      </w:r>
      <w:r>
        <w:t xml:space="preserve"> </w:t>
      </w:r>
      <w:r>
        <w:rPr>
          <w:rStyle w:val="VerbatimChar"/>
        </w:rPr>
        <w:t xml:space="preserve">Data/CTI_Insights_Base_Validacao_300_Registros.xlsx</w:t>
      </w:r>
      <w:r>
        <w:t xml:space="preserve"> </w:t>
      </w:r>
      <w:r>
        <w:t xml:space="preserve">a partir da raiz do projeto e processe a planilha. Consulte as telas de relatórios e gráficos. Atualize a página para conferir a recuperação da sessão e limpe a base para conferir o retorno ao estado inicial.</w:t>
      </w:r>
    </w:p>
    <w:bookmarkEnd w:id="18"/>
    <w:bookmarkStart w:id="19" w:name="erros-comuns-e-soluções"/>
    <w:p>
      <w:pPr>
        <w:pStyle w:val="Heading1"/>
      </w:pPr>
      <w:r>
        <w:t xml:space="preserve">11 Erros comuns e soluções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utilizada antes de registrar o Pinia</w:t>
            </w:r>
          </w:p>
        </w:tc>
        <w:tc>
          <w:tcPr/>
          <w:p>
            <w:pPr>
              <w:pStyle w:val="Compact"/>
            </w:pPr>
            <w:r>
              <w:t xml:space="preserve">Registrar</w:t>
            </w:r>
            <w:r>
              <w:t xml:space="preserve"> </w:t>
            </w:r>
            <w:r>
              <w:rPr>
                <w:rStyle w:val="VerbatimChar"/>
              </w:rPr>
              <w:t xml:space="preserve">app.use(createPinia())</w:t>
            </w:r>
            <w:r>
              <w:t xml:space="preserve"> </w:t>
            </w:r>
            <w:r>
              <w:t xml:space="preserve">antes da montagem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desestruturado deixa de acompanhar mudanças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storeToRefs(store)</w:t>
            </w:r>
            <w:r>
              <w:t xml:space="preserve"> </w:t>
            </w:r>
            <w:r>
              <w:t xml:space="preserve">para estado e getters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Nenhum arquivo selecionado ou extensão rejeitada</w:t>
            </w:r>
          </w:p>
        </w:tc>
        <w:tc>
          <w:tcPr/>
          <w:p>
            <w:pPr>
              <w:pStyle w:val="Compact"/>
            </w:pPr>
            <w:r>
              <w:t xml:space="preserve">Selecionar XLSX, XLS ou CSV antes de processar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Esperar que File reapareça após atualizar a página</w:t>
            </w:r>
          </w:p>
        </w:tc>
        <w:tc>
          <w:tcPr/>
          <w:p>
            <w:pPr>
              <w:pStyle w:val="Compact"/>
            </w:pPr>
            <w:r>
              <w:t xml:space="preserve">Selecionar novamente o arquivo quando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Confundir amostra com importação real</w:t>
            </w:r>
          </w:p>
        </w:tc>
        <w:tc>
          <w:tcPr/>
          <w:p>
            <w:pPr>
              <w:pStyle w:val="Compact"/>
            </w:pPr>
            <w:r>
              <w:t xml:space="preserve">Conferir</w:t>
            </w:r>
            <w:r>
              <w:t xml:space="preserve"> </w:t>
            </w:r>
            <w:r>
              <w:rPr>
                <w:rStyle w:val="VerbatimChar"/>
              </w:rPr>
              <w:t xml:space="preserve">usandoExemplo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temDados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Confundir linhas inválidas com ocorrências de erro</w:t>
            </w:r>
          </w:p>
        </w:tc>
        <w:tc>
          <w:tcPr/>
          <w:p>
            <w:pPr>
              <w:pStyle w:val="Compact"/>
            </w:pPr>
            <w:r>
              <w:t xml:space="preserve">Comparar</w:t>
            </w:r>
            <w:r>
              <w:t xml:space="preserve"> </w:t>
            </w:r>
            <w:r>
              <w:rPr>
                <w:rStyle w:val="VerbatimChar"/>
              </w:rPr>
              <w:t xml:space="preserve">totalComErro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totalErros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Tentar usar Pinia para criar uma conta real sem API</w:t>
            </w:r>
          </w:p>
        </w:tc>
        <w:tc>
          <w:tcPr/>
          <w:p>
            <w:pPr>
              <w:pStyle w:val="Compact"/>
            </w:pPr>
            <w:r>
              <w:t xml:space="preserve">Implementar cadastro e autenticação no backend</w:t>
            </w:r>
          </w:p>
        </w:tc>
      </w:tr>
    </w:tbl>
    <w:bookmarkEnd w:id="19"/>
    <w:bookmarkStart w:id="20" w:name="checklist-de-entrega"/>
    <w:p>
      <w:pPr>
        <w:pStyle w:val="Heading1"/>
      </w:pPr>
      <w:r>
        <w:t xml:space="preserve">12 Checklist de entrega</w:t>
      </w:r>
    </w:p>
    <w:p>
      <w:pPr>
        <w:pStyle w:val="Compact"/>
        <w:numPr>
          <w:ilvl w:val="0"/>
          <w:numId w:val="1002"/>
        </w:numPr>
      </w:pPr>
      <w:r>
        <w:t xml:space="preserve">Preencher nome, RA, curso e turma no Word.</w:t>
      </w:r>
    </w:p>
    <w:p>
      <w:pPr>
        <w:pStyle w:val="Compact"/>
        <w:numPr>
          <w:ilvl w:val="0"/>
          <w:numId w:val="1003"/>
        </w:numPr>
      </w:pPr>
      <w:r>
        <w:t xml:space="preserve">Explicar a diferença entre estado, getters e actions.</w:t>
      </w:r>
    </w:p>
    <w:p>
      <w:pPr>
        <w:pStyle w:val="Compact"/>
        <w:numPr>
          <w:ilvl w:val="0"/>
          <w:numId w:val="1004"/>
        </w:numPr>
      </w:pPr>
      <w:r>
        <w:t xml:space="preserve">Identificar a store e os componentes que a utilizam.</w:t>
      </w:r>
    </w:p>
    <w:p>
      <w:pPr>
        <w:pStyle w:val="Compact"/>
        <w:numPr>
          <w:ilvl w:val="0"/>
          <w:numId w:val="1005"/>
        </w:numPr>
      </w:pPr>
      <w:r>
        <w:t xml:space="preserve">Demonstrar importação, indicadores e limpeza da base.</w:t>
      </w:r>
    </w:p>
    <w:p>
      <w:pPr>
        <w:pStyle w:val="Compact"/>
        <w:numPr>
          <w:ilvl w:val="0"/>
          <w:numId w:val="1006"/>
        </w:numPr>
      </w:pPr>
      <w:r>
        <w:t xml:space="preserve">Explicar os limites do armazenamento em sessão.</w:t>
      </w:r>
    </w:p>
    <w:p>
      <w:pPr>
        <w:pStyle w:val="Compact"/>
        <w:numPr>
          <w:ilvl w:val="0"/>
          <w:numId w:val="1007"/>
        </w:numPr>
      </w:pPr>
      <w:r>
        <w:t xml:space="preserve">Conferir os testes e a compilação no ambiente de apresentação.</w:t>
      </w:r>
    </w:p>
    <w:p>
      <w:pPr>
        <w:pStyle w:val="Compact"/>
        <w:numPr>
          <w:ilvl w:val="0"/>
          <w:numId w:val="1008"/>
        </w:numPr>
      </w:pPr>
      <w:r>
        <w:t xml:space="preserve">Entregar o arquivo Word na plataforma indicada pelo professor.</w:t>
      </w:r>
    </w:p>
    <w:bookmarkEnd w:id="20"/>
    <w:bookmarkStart w:id="21" w:name="referências"/>
    <w:p>
      <w:pPr>
        <w:pStyle w:val="Heading1"/>
      </w:pPr>
      <w:r>
        <w:t xml:space="preserve">13 Referências</w:t>
      </w:r>
    </w:p>
    <w:p>
      <w:pPr>
        <w:pStyle w:val="FirstParagraph"/>
      </w:pPr>
      <w:r>
        <w:t xml:space="preserve">[1] Pinia. Defining a Store. Documentação oficial. https://pinia.vuejs.org/core-concepts/ . Acesso em 8 de outubro de 2026.</w:t>
      </w:r>
    </w:p>
    <w:p>
      <w:pPr>
        <w:pStyle w:val="BodyText"/>
      </w:pPr>
      <w:r>
        <w:t xml:space="preserve">[2] Pinia. Introduction. Documentação oficial. https://pinia.vuejs.org/introduction.html . Acesso em 8 de outubro de 2026.</w:t>
      </w:r>
    </w:p>
    <w:p>
      <w:pPr>
        <w:pStyle w:val="BodyText"/>
      </w:pPr>
      <w:r>
        <w:t xml:space="preserve">[3] Código-fonte do CTI Insights:</w:t>
      </w:r>
      <w:r>
        <w:t xml:space="preserve"> </w:t>
      </w:r>
      <w:r>
        <w:rPr>
          <w:rStyle w:val="VerbatimChar"/>
        </w:rPr>
        <w:t xml:space="preserve">FrontEnd/src/main.js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FrontEnd/src/stores/uploadStore.js</w:t>
      </w:r>
      <w:r>
        <w:t xml:space="preserve">, componentes consumidores e</w:t>
      </w:r>
      <w:r>
        <w:t xml:space="preserve"> </w:t>
      </w:r>
      <w:r>
        <w:rPr>
          <w:rStyle w:val="VerbatimChar"/>
        </w:rPr>
        <w:t xml:space="preserve">FrontEnd/tests/uploadStore.test.js</w:t>
      </w:r>
      <w:r>
        <w:t xml:space="preserve">. Consultado em 8 de outubro de 2026.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Pinia no CTI Insights</dc:title>
  <dc:creator/>
  <dc:language>pt-BR</dc:language>
  <cp:keywords/>
  <dcterms:created xsi:type="dcterms:W3CDTF">2026-10-08T22:45:45Z</dcterms:created>
  <dcterms:modified xsi:type="dcterms:W3CDTF">2026-10-08T22:45:45Z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