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Hearth</w:t>
      </w:r>
    </w:p>
    <w:p>
      <w:pPr>
        <w:spacing w:after="480"/>
        <w:jc w:val="center"/>
      </w:pPr>
      <w:r>
        <w:rPr>
          <w:sz w:val="32"/>
          <w:szCs w:val="32"/>
        </w:rPr>
        <w:t xml:space="preserve">Product Design Document</w:t>
      </w:r>
    </w:p>
    <w:p>
      <w:pPr>
        <w:spacing w:after="240"/>
        <w:jc w:val="center"/>
      </w:pPr>
      <w:r>
        <w:rPr>
          <w:i/>
          <w:iCs/>
          <w:sz w:val="24"/>
          <w:szCs w:val="24"/>
        </w:rPr>
        <w:t xml:space="preserve">A homeowner document and knowledge management application</w:t>
      </w:r>
    </w:p>
    <w:p>
      <w:pPr>
        <w:spacing w:after="1200"/>
        <w:jc w:val="center"/>
      </w:pPr>
      <w:r>
        <w:rPr>
          <w:sz w:val="22"/>
          <w:szCs w:val="22"/>
        </w:rPr>
        <w:t xml:space="preserve">ToddTech</w:t>
      </w:r>
    </w:p>
    <w:p>
      <w:pPr>
        <w:spacing w:after="120"/>
        <w:jc w:val="center"/>
      </w:pPr>
      <w:r>
        <w:rPr>
          <w:sz w:val="22"/>
          <w:szCs w:val="22"/>
        </w:rPr>
        <w:t xml:space="preserve">Version 0.2 — Working Draft</w:t>
      </w:r>
    </w:p>
    <w:p>
      <w:pPr>
        <w:spacing w:after="120"/>
        <w:jc w:val="center"/>
      </w:pPr>
      <w:r>
        <w:rPr>
          <w:sz w:val="22"/>
          <w:szCs w:val="22"/>
        </w:rPr>
        <w:t xml:space="preserve">May 12, 2026</w:t>
      </w:r>
    </w:p>
    <w:p>
      <w:r>
        <w:br w:type="page"/>
      </w:r>
    </w:p>
    <w:p>
      <w:pPr>
        <w:pStyle w:val="Heading1"/>
      </w:pPr>
      <w:r>
        <w:t xml:space="preserve">Purpose of this document</w:t>
      </w:r>
    </w:p>
    <w:p>
      <w:pPr>
        <w:spacing w:after="120"/>
      </w:pPr>
      <w:r>
        <w:t xml:space="preserve">This document captures the core product design decisions for Hearth as they currently stand. It is a working draft, not a specification — many decisions are still open, and the document is expected to evolve as the product takes shape. Its purpose is to preserve the design reasoning from the conversations that produced it, so that future work can build on the same foundation without re-deriving every conclusion.</w:t>
      </w:r>
    </w:p>
    <w:p>
      <w:pPr>
        <w:spacing w:after="120"/>
      </w:pPr>
      <w:r>
        <w:t xml:space="preserve">Where the document takes a clear position, it does so because the reasoning has been worked through in detail. Where it leaves a question open, that is intentional — the work to resolve it has been identified but deferred.</w:t>
      </w:r>
    </w:p>
    <w:p>
      <w:pPr>
        <w:pStyle w:val="Heading2"/>
      </w:pPr>
      <w:r>
        <w:t xml:space="preserve">Version history</w:t>
      </w:r>
    </w:p>
    <w:p>
      <w:pPr>
        <w:pStyle w:val="ListParagraph"/>
        <w:numPr>
          <w:ilvl w:val="0"/>
          <w:numId w:val="2"/>
        </w:numPr>
        <w:spacing w:after="80"/>
      </w:pPr>
      <w:r>
        <w:rPr>
          <w:b/>
          <w:bCs/>
        </w:rPr>
        <w:t xml:space="preserve">v0.2 (May 12, 2026). </w:t>
      </w:r>
      <w:r>
        <w:t xml:space="preserve">Expanded section 7 (business model) substantially. Section 7.3 (affiliate revenue) now includes realistic per-user economics across Amazon Associates, specialty programs, Subscribe &amp; Save, local pickup, and service-call lead generation. New section 7.5 covers the insurance path in detail — the four paths to insurance money (affiliate, B2B2C, data partnership, acquisition), likely buyer landscape, the Michigan market context, design implications, and what changes the probability of meaningful outcomes. New section 7.6 lays out realistic outcome scenarios from downside to lottery.</w:t>
      </w:r>
    </w:p>
    <w:p>
      <w:pPr>
        <w:pStyle w:val="ListParagraph"/>
        <w:numPr>
          <w:ilvl w:val="0"/>
          <w:numId w:val="2"/>
        </w:numPr>
        <w:spacing w:after="80"/>
      </w:pPr>
      <w:r>
        <w:rPr>
          <w:b/>
          <w:bCs/>
        </w:rPr>
        <w:t xml:space="preserve">v0.1 (May 12, 2026). </w:t>
      </w:r>
      <w:r>
        <w:t xml:space="preserve">Initial draft. Captured the problem and thesis, design principles, core product surfaces, safety model, UX philosophy, architecture notes, business model outline, naming candidates, open questions, and the Norton Drive validation session findings.</w:t>
      </w:r>
    </w:p>
    <w:p>
      <w:pPr>
        <w:pStyle w:val="Heading1"/>
      </w:pPr>
      <w:r>
        <w:t xml:space="preserve">1. Problem and thesis</w:t>
      </w:r>
    </w:p>
    <w:p>
      <w:pPr>
        <w:pStyle w:val="Heading2"/>
      </w:pPr>
      <w:r>
        <w:t xml:space="preserve">1.1 The problem</w:t>
      </w:r>
    </w:p>
    <w:p>
      <w:pPr>
        <w:spacing w:after="120"/>
      </w:pPr>
      <w:r>
        <w:t xml:space="preserve">Houses do not come with a user manual. Every homeowner faces a structural knowledge gap about the systems they are responsible for: what they have, how old it is, how it works, what it needs, who installed it, what it cost, what could go wrong, and what they should do about it. The information exists — in manuals, on the internet, in plumbers' heads, in county records — but it has no organized path to the specific homeowner who needs it at the moment they need it.</w:t>
      </w:r>
    </w:p>
    <w:p>
      <w:pPr>
        <w:spacing w:after="120"/>
      </w:pPr>
      <w:r>
        <w:t xml:space="preserve">The cost of this gap is paid continuously: in shortened equipment lifespans, in deferred maintenance that compounds, in panic during emergencies, in money left on the table at sale, and in institutional knowledge lost at every ownership transition. Every owner of every house re-learns the same things from scratch, badly, and most of them never finish learning.</w:t>
      </w:r>
    </w:p>
    <w:p>
      <w:pPr>
        <w:pStyle w:val="Heading2"/>
      </w:pPr>
      <w:r>
        <w:t xml:space="preserve">1.2 The thesis</w:t>
      </w:r>
    </w:p>
    <w:p>
      <w:pPr>
        <w:spacing w:after="120"/>
      </w:pPr>
      <w:r>
        <w:t xml:space="preserve">The combination of modern LLMs, retrieval-augmented generation, multimodal document ingestion, and public records data finally makes a credible product possible in a category where every prior attempt has been mediocre. The differentiator is not "AI chat for your house." It is the proactive intelligence layer that surfaces what the homeowner does not know to ask, grounded in their actual house and their actual equipment.</w:t>
      </w:r>
    </w:p>
    <w:p>
      <w:pPr>
        <w:spacing w:after="120"/>
      </w:pPr>
      <w:r>
        <w:t xml:space="preserve">Hearth is the entity in the homeowner's life whose job is to know their house and tell them what they need to know about it, when they need to know it. It is the institutional memory of the property — first for the current owner, then across owners.</w:t>
      </w:r>
    </w:p>
    <w:p>
      <w:pPr>
        <w:pStyle w:val="Heading2"/>
      </w:pPr>
      <w:r>
        <w:t xml:space="preserve">1.3 The core moments</w:t>
      </w:r>
    </w:p>
    <w:p>
      <w:pPr>
        <w:spacing w:after="120"/>
      </w:pPr>
      <w:r>
        <w:t xml:space="preserve">Two moments capture the product's value at a felt level. They should be remembered when writing copy, designing onboarding, or pitching the product.</w:t>
      </w:r>
    </w:p>
    <w:p>
      <w:pPr>
        <w:pBdr>
          <w:left w:val="single" w:color="999999" w:sz="12" w:space="12"/>
        </w:pBdr>
        <w:spacing w:after="120" w:before="120"/>
        <w:ind w:left="720"/>
      </w:pPr>
      <w:r>
        <w:rPr>
          <w:i/>
          <w:iCs/>
        </w:rPr>
        <w:t xml:space="preserve">I have an old water softener I've been adding salt to for years. I never knew the resin beds wear out every 10–15 years. "Still using salt" doesn't mean the system is actually softening anything.</w:t>
      </w:r>
    </w:p>
    <w:p>
      <w:pPr>
        <w:pBdr>
          <w:left w:val="single" w:color="999999" w:sz="12" w:space="12"/>
        </w:pBdr>
        <w:spacing w:after="120" w:before="120"/>
        <w:ind w:left="720"/>
      </w:pPr>
      <w:r>
        <w:rPr>
          <w:i/>
          <w:iCs/>
        </w:rPr>
        <w:t xml:space="preserve">I just learned more about my house in 10 minutes than in the past 10 years.</w:t>
      </w:r>
    </w:p>
    <w:p>
      <w:pPr>
        <w:spacing w:after="120"/>
      </w:pPr>
      <w:r>
        <w:t xml:space="preserve">Both quotes describe the same experience: a homeowner discovering a real, important thing about their own house that nobody had ever told them. The product is designed to produce that experience at scale.</w:t>
      </w:r>
    </w:p>
    <w:p>
      <w:pPr>
        <w:pStyle w:val="Heading1"/>
      </w:pPr>
      <w:r>
        <w:t xml:space="preserve">2. Design principles</w:t>
      </w:r>
    </w:p>
    <w:p>
      <w:pPr>
        <w:spacing w:after="120"/>
      </w:pPr>
      <w:r>
        <w:t xml:space="preserve">These principles are not aspirational. They are decisions, made deliberately, that shape every feature decision downstream.</w:t>
      </w:r>
    </w:p>
    <w:p>
      <w:pPr>
        <w:pStyle w:val="Heading2"/>
      </w:pPr>
      <w:r>
        <w:t xml:space="preserve">2.1 Document and surface, do not instruct</w:t>
      </w:r>
    </w:p>
    <w:p>
      <w:pPr>
        <w:spacing w:after="120"/>
      </w:pPr>
      <w:r>
        <w:t xml:space="preserve">Hearth helps homeowners understand and document their houses. It is not a contractor, inspector, or installer. It provides information and surfaces patterns; it does not authorize, certify, or direct physical work. The homeowner retains all decision authority and responsibility for any physical action taken in their home.</w:t>
      </w:r>
    </w:p>
    <w:p>
      <w:pPr>
        <w:spacing w:after="120"/>
      </w:pPr>
      <w:r>
        <w:t xml:space="preserve">Maintenance awareness — what is due and why it matters — is core to the product. Maintenance instruction — how to do the work step by step — is not. For DIY-friendly work, the product links to curated external resources. For professional work, the product helps find and engage a professional. This is the seam between what we build and what we delegate.</w:t>
      </w:r>
    </w:p>
    <w:p>
      <w:pPr>
        <w:pStyle w:val="Heading2"/>
      </w:pPr>
      <w:r>
        <w:t xml:space="preserve">2.2 Calibrated caution, not maximum caution</w:t>
      </w:r>
    </w:p>
    <w:p>
      <w:pPr>
        <w:spacing w:after="120"/>
      </w:pPr>
      <w:r>
        <w:t xml:space="preserve">Maximally cautious products are unusable, and unusable products do not help anyone. The product's value is in surfacing things users do not know; defanging that to avoid liability defeats the product. The right framing is calibrated caution: be specific about which risks matter, design defenses against those specific risks, and let the rest of the product be genuinely helpful.</w:t>
      </w:r>
    </w:p>
    <w:p>
      <w:pPr>
        <w:pStyle w:val="Heading2"/>
      </w:pPr>
      <w:r>
        <w:t xml:space="preserve">2.3 Ingestion friction is the engagement bottleneck</w:t>
      </w:r>
    </w:p>
    <w:p>
      <w:pPr>
        <w:spacing w:after="120"/>
      </w:pPr>
      <w:r>
        <w:t xml:space="preserve">Every input field is a tax on the user and a drop in long-term engagement. The user should never fill out a form when a photo or a forwarded email will do. The product should make a guess and let the user confirm or correct it — never present an empty form. This is the difference between an experience that feels like data entry (users abandon) and one that feels like magic (users keep using).</w:t>
      </w:r>
    </w:p>
    <w:p>
      <w:pPr>
        <w:pStyle w:val="Heading2"/>
      </w:pPr>
      <w:r>
        <w:t xml:space="preserve">2.4 The user's inventory is the grounding context</w:t>
      </w:r>
    </w:p>
    <w:p>
      <w:pPr>
        <w:spacing w:after="120"/>
      </w:pPr>
      <w:r>
        <w:t xml:space="preserve">Most classification problems in this product are not open-ended — they are constrained matching problems against the user's actual inventory. "What is this receipt for?" is a five-option problem when the user has five major systems, not a five-hundred-option problem. The product gets dramatically more reliable as it learns the specific house.</w:t>
      </w:r>
    </w:p>
    <w:p>
      <w:pPr>
        <w:pStyle w:val="Heading2"/>
      </w:pPr>
      <w:r>
        <w:t xml:space="preserve">2.5 The score reflects the house, not the app</w:t>
      </w:r>
    </w:p>
    <w:p>
      <w:pPr>
        <w:spacing w:after="120"/>
      </w:pPr>
      <w:r>
        <w:t xml:space="preserve">Engagement mechanics — scores, badges, progress indicators — must reflect the user's actual home preparedness, not their app usage. A score that goes up when the user uploads five photos is fake gamification. A score that goes up when the user's house is actually better documented and maintained is real.</w:t>
      </w:r>
    </w:p>
    <w:p>
      <w:pPr>
        <w:pStyle w:val="Heading2"/>
      </w:pPr>
      <w:r>
        <w:t xml:space="preserve">2.6 Honest acknowledgment of uncertainty</w:t>
      </w:r>
    </w:p>
    <w:p>
      <w:pPr>
        <w:spacing w:after="120"/>
      </w:pPr>
      <w:r>
        <w:t xml:space="preserve">When the AI identifies something from a photo, it should be explicit about what it is confident in, what it is guessing at, and what it cannot tell. Confidence levels should be visible, not hidden. The product should never present a guess as a fact.</w:t>
      </w:r>
    </w:p>
    <w:p>
      <w:pPr>
        <w:pStyle w:val="Heading2"/>
      </w:pPr>
      <w:r>
        <w:t xml:space="preserve">2.7 The handoff matters</w:t>
      </w:r>
    </w:p>
    <w:p>
      <w:pPr>
        <w:spacing w:after="120"/>
      </w:pPr>
      <w:r>
        <w:t xml:space="preserve">Institutional knowledge about a house dies at every ownership transition. The product is designed to preserve and pass it. Every piece of documentation should be exportable, every video should be portable, every contractor relationship transferable. The next owner inherits not just the house but a working understanding of it.</w:t>
      </w:r>
    </w:p>
    <w:p>
      <w:pPr>
        <w:pStyle w:val="Heading1"/>
      </w:pPr>
      <w:r>
        <w:t xml:space="preserve">3. Core product surfaces</w:t>
      </w:r>
    </w:p>
    <w:p>
      <w:pPr>
        <w:spacing w:after="120"/>
      </w:pPr>
      <w:r>
        <w:t xml:space="preserve">The product is composed of several interlocking surfaces. Each is described below at the level needed to make design decisions about it.</w:t>
      </w:r>
    </w:p>
    <w:p>
      <w:pPr>
        <w:pStyle w:val="Heading2"/>
      </w:pPr>
      <w:r>
        <w:t xml:space="preserve">3.1 The Day One Briefing</w:t>
      </w:r>
    </w:p>
    <w:p>
      <w:pPr>
        <w:spacing w:after="120"/>
      </w:pPr>
      <w:r>
        <w:t xml:space="preserve">On signup, the user provides their address. The product runs a sweep of publicly available data — assessor records, permit history, recorded documents, environmental risk data, FEMA flood zones, EPA radon zones, lead service line inventory where available, soils and drainage data, historical aerials — and produces a personalized briefing of what matters for that specific property.</w:t>
      </w:r>
    </w:p>
    <w:p>
      <w:pPr>
        <w:spacing w:after="120"/>
      </w:pPr>
      <w:r>
        <w:t xml:space="preserve">This is the product's solution to the cold-start problem. Most home documentation apps are empty on day one and demand effort before they produce value. The Day One Briefing inverts this: the user signs up and immediately sees a meaningful, personalized picture of their house, including things they did not know to ask about.</w:t>
      </w:r>
    </w:p>
    <w:p>
      <w:pPr>
        <w:spacing w:after="120"/>
      </w:pPr>
      <w:r>
        <w:t xml:space="preserve">Concrete examples of what the briefing surfaces:</w:t>
      </w:r>
    </w:p>
    <w:p>
      <w:pPr>
        <w:pStyle w:val="ListParagraph"/>
        <w:numPr>
          <w:ilvl w:val="0"/>
          <w:numId w:val="2"/>
        </w:numPr>
        <w:spacing w:after="80"/>
      </w:pPr>
      <w:r>
        <w:t xml:space="preserve">Year built, square footage, lot, parcel, tax history trajectory</w:t>
      </w:r>
    </w:p>
    <w:p>
      <w:pPr>
        <w:pStyle w:val="ListParagraph"/>
        <w:numPr>
          <w:ilvl w:val="0"/>
          <w:numId w:val="2"/>
        </w:numPr>
        <w:spacing w:after="80"/>
      </w:pPr>
      <w:r>
        <w:t xml:space="preserve">EPA radon zone classification and recommended testing cadence</w:t>
      </w:r>
    </w:p>
    <w:p>
      <w:pPr>
        <w:pStyle w:val="ListParagraph"/>
        <w:numPr>
          <w:ilvl w:val="0"/>
          <w:numId w:val="2"/>
        </w:numPr>
        <w:spacing w:after="80"/>
      </w:pPr>
      <w:r>
        <w:t xml:space="preserve">Lead service line risk for pre-1950 construction</w:t>
      </w:r>
    </w:p>
    <w:p>
      <w:pPr>
        <w:pStyle w:val="ListParagraph"/>
        <w:numPr>
          <w:ilvl w:val="0"/>
          <w:numId w:val="2"/>
        </w:numPr>
        <w:spacing w:after="80"/>
      </w:pPr>
      <w:r>
        <w:t xml:space="preserve">Permit history, including system installations whose age can be inferred</w:t>
      </w:r>
    </w:p>
    <w:p>
      <w:pPr>
        <w:pStyle w:val="ListParagraph"/>
        <w:numPr>
          <w:ilvl w:val="0"/>
          <w:numId w:val="2"/>
        </w:numPr>
        <w:spacing w:after="80"/>
      </w:pPr>
      <w:r>
        <w:t xml:space="preserve">Recorded easements and restrictions, translated from legalese to plain English</w:t>
      </w:r>
    </w:p>
    <w:p>
      <w:pPr>
        <w:pStyle w:val="ListParagraph"/>
        <w:numPr>
          <w:ilvl w:val="0"/>
          <w:numId w:val="2"/>
        </w:numPr>
        <w:spacing w:after="80"/>
      </w:pPr>
      <w:r>
        <w:t xml:space="preserve">Environmental hazards by location (flood zone, soils, drainage)</w:t>
      </w:r>
    </w:p>
    <w:p>
      <w:pPr>
        <w:pStyle w:val="ListParagraph"/>
        <w:numPr>
          <w:ilvl w:val="0"/>
          <w:numId w:val="2"/>
        </w:numPr>
        <w:spacing w:after="80"/>
      </w:pPr>
      <w:r>
        <w:t xml:space="preserve">Structured questions to fill in the gaps the data does not cover</w:t>
      </w:r>
    </w:p>
    <w:p>
      <w:pPr>
        <w:pStyle w:val="Heading2"/>
      </w:pPr>
      <w:r>
        <w:t xml:space="preserve">3.2 The ingestion pipeline</w:t>
      </w:r>
    </w:p>
    <w:p>
      <w:pPr>
        <w:spacing w:after="120"/>
      </w:pPr>
      <w:r>
        <w:t xml:space="preserve">The ingestion pipeline is the user's primary interaction with the product. Everything else — the inventory, the maintenance schedule, the contractor directory, the cost basis ledger, the pre-listing export — is downstream of documents and photos flowing through this pipeline.</w:t>
      </w:r>
    </w:p>
    <w:p>
      <w:pPr>
        <w:spacing w:after="120"/>
      </w:pPr>
      <w:r>
        <w:t xml:space="preserve">The pipeline handles photos taken in the moment, documents forwarded by email, files dragged in from the desktop, and files shared from other apps. All channels converge on the same processing pipeline and the same verification queue.</w:t>
      </w:r>
    </w:p>
    <w:p>
      <w:pPr>
        <w:spacing w:after="120"/>
      </w:pPr>
      <w:r>
        <w:t xml:space="preserve">Pipeline stages:</w:t>
      </w:r>
    </w:p>
    <w:p>
      <w:pPr>
        <w:pStyle w:val="ListParagraph"/>
        <w:numPr>
          <w:ilvl w:val="0"/>
          <w:numId w:val="2"/>
        </w:numPr>
        <w:spacing w:after="80"/>
      </w:pPr>
      <w:r>
        <w:rPr>
          <w:b/>
          <w:bCs/>
        </w:rPr>
        <w:t xml:space="preserve">Classify. </w:t>
      </w:r>
      <w:r>
        <w:t xml:space="preserve">Determine the document type (receipt, invoice, permit, manual, photo of equipment, insurance document, etc.). Routes to the appropriate extraction schema.</w:t>
      </w:r>
    </w:p>
    <w:p>
      <w:pPr>
        <w:pStyle w:val="ListParagraph"/>
        <w:numPr>
          <w:ilvl w:val="0"/>
          <w:numId w:val="2"/>
        </w:numPr>
        <w:spacing w:after="80"/>
      </w:pPr>
      <w:r>
        <w:rPr>
          <w:b/>
          <w:bCs/>
        </w:rPr>
        <w:t xml:space="preserve">Extract. </w:t>
      </w:r>
      <w:r>
        <w:t xml:space="preserve">Run domain-specific structured extraction. Receipts get vendor, date, line items, total. Equipment photos get brand, model, serial, date codes, visible state. Permits get permit number, contractor, scope. Etc.</w:t>
      </w:r>
    </w:p>
    <w:p>
      <w:pPr>
        <w:pStyle w:val="ListParagraph"/>
        <w:numPr>
          <w:ilvl w:val="0"/>
          <w:numId w:val="2"/>
        </w:numPr>
        <w:spacing w:after="80"/>
      </w:pPr>
      <w:r>
        <w:rPr>
          <w:b/>
          <w:bCs/>
        </w:rPr>
        <w:t xml:space="preserve">Associate. </w:t>
      </w:r>
      <w:r>
        <w:t xml:space="preserve">Match the document to existing inventory objects. "This receipt is for the Rheem water heater." Confidence-scored.</w:t>
      </w:r>
    </w:p>
    <w:p>
      <w:pPr>
        <w:pStyle w:val="ListParagraph"/>
        <w:numPr>
          <w:ilvl w:val="0"/>
          <w:numId w:val="2"/>
        </w:numPr>
        <w:spacing w:after="80"/>
      </w:pPr>
      <w:r>
        <w:rPr>
          <w:b/>
          <w:bCs/>
        </w:rPr>
        <w:t xml:space="preserve">Infer follow-ups. </w:t>
      </w:r>
      <w:r>
        <w:t xml:space="preserve">Identify state changes the document implies. "Anode rod was replaced — reset the maintenance clock. Vendor was new — add to contractor directory. Cost was $450 — add to cost basis ledger."</w:t>
      </w:r>
    </w:p>
    <w:p>
      <w:pPr>
        <w:pStyle w:val="ListParagraph"/>
        <w:numPr>
          <w:ilvl w:val="0"/>
          <w:numId w:val="2"/>
        </w:numPr>
        <w:spacing w:after="80"/>
      </w:pPr>
      <w:r>
        <w:rPr>
          <w:b/>
          <w:bCs/>
        </w:rPr>
        <w:t xml:space="preserve">Queue or auto-file. </w:t>
      </w:r>
      <w:r>
        <w:t xml:space="preserve">High-confidence cases auto-file with a passive notification. Medium-confidence cases enter the verification queue. Low-confidence cases ask explicitly. Failures are still saved and searchable.</w:t>
      </w:r>
    </w:p>
    <w:p>
      <w:r>
        <w:t xml:space="preserve"/>
      </w:r>
    </w:p>
    <w:p>
      <w:pPr>
        <w:spacing w:after="120"/>
      </w:pPr>
      <w:r>
        <w:t xml:space="preserve">Multiple ingestion channels must all converge on this pipeline: in-app camera capture, share-sheet integration on iOS and Android, drag-and-drop on the desktop web app, and a per-user email forwarding address (for example, receipts@todd.hearth.app) that accepts forwarded technician emails and processes both the message body and any attachments.</w:t>
      </w:r>
    </w:p>
    <w:p>
      <w:pPr>
        <w:pStyle w:val="Heading2"/>
      </w:pPr>
      <w:r>
        <w:t xml:space="preserve">3.3 The verification queue</w:t>
      </w:r>
    </w:p>
    <w:p>
      <w:pPr>
        <w:spacing w:after="120"/>
      </w:pPr>
      <w:r>
        <w:t xml:space="preserve">Ingestion and verification happen at different time horizons. Ingestion is fast and contextual — the user is in the basement, at the curb, between meetings. Verification is deliberate — the user is at a desk, has fifteen minutes, is in "house admin mode." The verification queue decouples the two.</w:t>
      </w:r>
    </w:p>
    <w:p>
      <w:pPr>
        <w:spacing w:after="120"/>
      </w:pPr>
      <w:r>
        <w:t xml:space="preserve">A document captured in the moment is processed in the background. If the extraction is high-confidence, the document auto-files and the user gets a passive notification. If verification is needed, the document waits in the queue indefinitely. The user reviews when they choose, often in batches, often on a different device than where they captured.</w:t>
      </w:r>
    </w:p>
    <w:p>
      <w:pPr>
        <w:spacing w:after="120"/>
      </w:pPr>
      <w:r>
        <w:t xml:space="preserve">Design requirements:</w:t>
      </w:r>
    </w:p>
    <w:p>
      <w:pPr>
        <w:pStyle w:val="ListParagraph"/>
        <w:numPr>
          <w:ilvl w:val="0"/>
          <w:numId w:val="2"/>
        </w:numPr>
        <w:spacing w:after="80"/>
      </w:pPr>
      <w:r>
        <w:t xml:space="preserve">Server-side queue with real-time sync across devices — the phone is for capture, the desktop is for serious review, and they are the same queue</w:t>
      </w:r>
    </w:p>
    <w:p>
      <w:pPr>
        <w:pStyle w:val="ListParagraph"/>
        <w:numPr>
          <w:ilvl w:val="0"/>
          <w:numId w:val="2"/>
        </w:numPr>
        <w:spacing w:after="80"/>
      </w:pPr>
      <w:r>
        <w:t xml:space="preserve">Bulk confirm — most queue items, most of the time, are correctly classified and should be confirmable with a single tap</w:t>
      </w:r>
    </w:p>
    <w:p>
      <w:pPr>
        <w:pStyle w:val="ListParagraph"/>
        <w:numPr>
          <w:ilvl w:val="0"/>
          <w:numId w:val="2"/>
        </w:numPr>
        <w:spacing w:after="80"/>
      </w:pPr>
      <w:r>
        <w:t xml:space="preserve">Optimistic association — the app always proposes; the user always confirms or corrects; the user never starts with a blank form</w:t>
      </w:r>
    </w:p>
    <w:p>
      <w:pPr>
        <w:pStyle w:val="ListParagraph"/>
        <w:numPr>
          <w:ilvl w:val="0"/>
          <w:numId w:val="2"/>
        </w:numPr>
        <w:spacing w:after="80"/>
      </w:pPr>
      <w:r>
        <w:t xml:space="preserve">Patient — documents wait indefinitely; no nagging, no shame, no deletion</w:t>
      </w:r>
    </w:p>
    <w:p>
      <w:pPr>
        <w:pStyle w:val="ListParagraph"/>
        <w:numPr>
          <w:ilvl w:val="0"/>
          <w:numId w:val="2"/>
        </w:numPr>
        <w:spacing w:after="80"/>
      </w:pPr>
      <w:r>
        <w:t xml:space="preserve">Reversible — any auto-classification can be moved with one action</w:t>
      </w:r>
    </w:p>
    <w:p>
      <w:pPr>
        <w:pStyle w:val="ListParagraph"/>
        <w:numPr>
          <w:ilvl w:val="0"/>
          <w:numId w:val="2"/>
        </w:numPr>
        <w:spacing w:after="80"/>
      </w:pPr>
      <w:r>
        <w:t xml:space="preserve">Recent-activity view — auto-filed items are also visible and editable, so confidently-wrong classifications can be found and fixed</w:t>
      </w:r>
    </w:p>
    <w:p>
      <w:pPr>
        <w:pStyle w:val="ListParagraph"/>
        <w:numPr>
          <w:ilvl w:val="0"/>
          <w:numId w:val="2"/>
        </w:numPr>
        <w:spacing w:after="80"/>
      </w:pPr>
      <w:r>
        <w:t xml:space="preserve">Graceful degradation — if extraction fails entirely, the document is still saved as a searchable file</w:t>
      </w:r>
    </w:p>
    <w:p>
      <w:pPr>
        <w:pStyle w:val="Heading2"/>
      </w:pPr>
      <w:r>
        <w:t xml:space="preserve">3.4 The inventory</w:t>
      </w:r>
    </w:p>
    <w:p>
      <w:pPr>
        <w:spacing w:after="120"/>
      </w:pPr>
      <w:r>
        <w:t xml:space="preserve">The inventory is the structured representation of what is in the house. It is the spine the rest of the product hangs off — documents associate to inventory items, maintenance schedules attach to inventory items, contractor relationships link to inventory items, the score is computed from inventory state.</w:t>
      </w:r>
    </w:p>
    <w:p>
      <w:pPr>
        <w:spacing w:after="120"/>
      </w:pPr>
      <w:r>
        <w:t xml:space="preserve">Inventory items share a common metadata pattern:</w:t>
      </w:r>
    </w:p>
    <w:p>
      <w:pPr>
        <w:pStyle w:val="ListParagraph"/>
        <w:numPr>
          <w:ilvl w:val="0"/>
          <w:numId w:val="2"/>
        </w:numPr>
        <w:spacing w:after="80"/>
      </w:pPr>
      <w:r>
        <w:t xml:space="preserve">Identity (brand, model, serial)</w:t>
      </w:r>
    </w:p>
    <w:p>
      <w:pPr>
        <w:pStyle w:val="ListParagraph"/>
        <w:numPr>
          <w:ilvl w:val="0"/>
          <w:numId w:val="2"/>
        </w:numPr>
        <w:spacing w:after="80"/>
      </w:pPr>
      <w:r>
        <w:t xml:space="preserve">Dates (install date, manufacture date, warranty end)</w:t>
      </w:r>
    </w:p>
    <w:p>
      <w:pPr>
        <w:pStyle w:val="ListParagraph"/>
        <w:numPr>
          <w:ilvl w:val="0"/>
          <w:numId w:val="2"/>
        </w:numPr>
        <w:spacing w:after="80"/>
      </w:pPr>
      <w:r>
        <w:t xml:space="preserve">Location (which part of the house)</w:t>
      </w:r>
    </w:p>
    <w:p>
      <w:pPr>
        <w:pStyle w:val="ListParagraph"/>
        <w:numPr>
          <w:ilvl w:val="0"/>
          <w:numId w:val="2"/>
        </w:numPr>
        <w:spacing w:after="80"/>
      </w:pPr>
      <w:r>
        <w:t xml:space="preserve">State (working, in bypass, due for service, end of life)</w:t>
      </w:r>
    </w:p>
    <w:p>
      <w:pPr>
        <w:pStyle w:val="ListParagraph"/>
        <w:numPr>
          <w:ilvl w:val="0"/>
          <w:numId w:val="2"/>
        </w:numPr>
        <w:spacing w:after="80"/>
      </w:pPr>
      <w:r>
        <w:t xml:space="preserve">Service history (when, what, by whom, for how much)</w:t>
      </w:r>
    </w:p>
    <w:p>
      <w:pPr>
        <w:pStyle w:val="ListParagraph"/>
        <w:numPr>
          <w:ilvl w:val="0"/>
          <w:numId w:val="2"/>
        </w:numPr>
        <w:spacing w:after="80"/>
      </w:pPr>
      <w:r>
        <w:t xml:space="preserve">Linked documents (manual, receipts, permits, photos, video)</w:t>
      </w:r>
    </w:p>
    <w:p>
      <w:pPr>
        <w:pStyle w:val="ListParagraph"/>
        <w:numPr>
          <w:ilvl w:val="0"/>
          <w:numId w:val="2"/>
        </w:numPr>
        <w:spacing w:after="80"/>
      </w:pPr>
      <w:r>
        <w:t xml:space="preserve">Linked contractor relationships</w:t>
      </w:r>
    </w:p>
    <w:p>
      <w:pPr>
        <w:pStyle w:val="ListParagraph"/>
        <w:numPr>
          <w:ilvl w:val="0"/>
          <w:numId w:val="2"/>
        </w:numPr>
        <w:spacing w:after="80"/>
      </w:pPr>
      <w:r>
        <w:t xml:space="preserve">Maintenance schedule with next-due dates</w:t>
      </w:r>
    </w:p>
    <w:p>
      <w:r>
        <w:t xml:space="preserve"/>
      </w:r>
    </w:p>
    <w:p>
      <w:pPr>
        <w:spacing w:after="120"/>
      </w:pPr>
      <w:r>
        <w:t xml:space="preserve">Inventory categories include but are not limited to: water service (main shutoff, meter, PRV, expansion tank), water heater, water softener, sump pump, well/septic if applicable, HVAC, electrical panel and service, major appliances, smoke and CO detectors, fire extinguishers, garage door opener, generator, solar, EV charger, radon mitigation system, irrigation, exterior systems (gutters, roof, siding, deck), and the house itself (deed, survey, insurance, taxes).</w:t>
      </w:r>
    </w:p>
    <w:p>
      <w:pPr>
        <w:pStyle w:val="Heading2"/>
      </w:pPr>
      <w:r>
        <w:t xml:space="preserve">3.5 The chat interface</w:t>
      </w:r>
    </w:p>
    <w:p>
      <w:pPr>
        <w:spacing w:after="120"/>
      </w:pPr>
      <w:r>
        <w:t xml:space="preserve">The chat is the unifying surface for both semantic queries ("how old is my water heater?") and structured queries ("show me everything we've spent on plumbing in the last three years"). It is grounded in the user's inventory and document corpus — when the user asks a question, the answer comes from their actual house, not from generic information.</w:t>
      </w:r>
    </w:p>
    <w:p>
      <w:pPr>
        <w:spacing w:after="120"/>
      </w:pPr>
      <w:r>
        <w:t xml:space="preserve">The chat is one surface among several, not the whole product. The product is fundamentally a documentation and intelligence layer; the chat is the conversational front door to it.</w:t>
      </w:r>
    </w:p>
    <w:p>
      <w:pPr>
        <w:pStyle w:val="Heading2"/>
      </w:pPr>
      <w:r>
        <w:t xml:space="preserve">3.6 Photo-based identification</w:t>
      </w:r>
    </w:p>
    <w:p>
      <w:pPr>
        <w:spacing w:after="120"/>
      </w:pPr>
      <w:r>
        <w:t xml:space="preserve">Photos are a first-class ingestion type. The product can identify equipment from photos, read serial numbers and date codes from labels, estimate age from visual era when no dates are visible, distinguish dealer/installer brands from underlying manufacturers (a recurring pattern — the tank says "Peerless" but the actual hardware is Autotrol), and surface visible state (warning lights, indicator displays, valve positions, corrosion, prior leak evidence).</w:t>
      </w:r>
    </w:p>
    <w:p>
      <w:pPr>
        <w:spacing w:after="120"/>
      </w:pPr>
      <w:r>
        <w:t xml:space="preserve">Photo capture is the most natural ingestion type for equipment because the data is already on the unit — model numbers, manufacturer plates, warning labels. The product should provide guided capture prompts ("photograph the data plate on the side of the water heater") so the user knows what to shoot.</w:t>
      </w:r>
    </w:p>
    <w:p>
      <w:pPr>
        <w:pStyle w:val="Heading2"/>
      </w:pPr>
      <w:r>
        <w:t xml:space="preserve">3.7 Video as a first-class type</w:t>
      </w:r>
    </w:p>
    <w:p>
      <w:pPr>
        <w:spacing w:after="120"/>
      </w:pPr>
      <w:r>
        <w:t xml:space="preserve">Text instructions for "how to shut off the water" are hard to write and hard to follow under stress. A twenty-second video of past-you pointing at the valve is dramatically more useful. Video is also the closest equivalent to a previous owner walking the new owner through the house on move-in day — and that handoff use case is one of the product's most differentiated value propositions.</w:t>
      </w:r>
    </w:p>
    <w:p>
      <w:pPr>
        <w:spacing w:after="120"/>
      </w:pPr>
      <w:r>
        <w:t xml:space="preserve">The capture experience matters more than the playback experience. Users will not film without prompting, so the product needs guided capture ("record thirty seconds of your main shutoff with narration"), in-context capture during system documentation, and an emergency-mode UI that surfaces video first with no menus.</w:t>
      </w:r>
    </w:p>
    <w:p>
      <w:pPr>
        <w:pStyle w:val="Heading2"/>
      </w:pPr>
      <w:r>
        <w:t xml:space="preserve">3.8 Maintenance awareness</w:t>
      </w:r>
    </w:p>
    <w:p>
      <w:pPr>
        <w:spacing w:after="120"/>
      </w:pPr>
      <w:r>
        <w:t xml:space="preserve">The product maintains a maintenance calendar for each inventory item, based on its identity, age, and last-service status. It surfaces what is due, what is overdue, and what is coming up. It explains why each task matters — not in the abstract, but in the user's specific context ("your 2015 Rheem water heater has not had its anode rod inspected, and at eleven years old it is overdue").</w:t>
      </w:r>
    </w:p>
    <w:p>
      <w:pPr>
        <w:spacing w:after="120"/>
      </w:pPr>
      <w:r>
        <w:t xml:space="preserve">The product does not produce step-by-step instructions for performing maintenance. Instead it categorizes each task: routine homeowner-DIY (with a curated external resource link), advanced DIY (with stronger safety framing and a curated external resource), or professional (with help finding and engaging a contractor). The product always tracks completion so the cycle continues.</w:t>
      </w:r>
    </w:p>
    <w:p>
      <w:pPr>
        <w:pStyle w:val="Heading2"/>
      </w:pPr>
      <w:r>
        <w:t xml:space="preserve">3.9 The contractor directory</w:t>
      </w:r>
    </w:p>
    <w:p>
      <w:pPr>
        <w:spacing w:after="120"/>
      </w:pPr>
      <w:r>
        <w:t xml:space="preserve">Every service event passes through a contractor relationship. The product extracts contractor information from ingested receipts, permits, installer stickers, and email-forwarded technician messages, and accumulates it into a per-user directory. When something needs service, the user wants their plumber's number, not a Google search.</w:t>
      </w:r>
    </w:p>
    <w:p>
      <w:pPr>
        <w:spacing w:after="120"/>
      </w:pPr>
      <w:r>
        <w:t xml:space="preserve">Contractor records carry equipment associations ("Peerless installed the softener"), service history ("three visits in the last five years, total $1,240"), and contact information. When the product recommends professional service, it should help the user engage their existing relationship by default and only suggest new contractors when none exists.</w:t>
      </w:r>
    </w:p>
    <w:p>
      <w:pPr>
        <w:pStyle w:val="Heading2"/>
      </w:pPr>
      <w:r>
        <w:t xml:space="preserve">3.10 The Home Readiness Index</w:t>
      </w:r>
    </w:p>
    <w:p>
      <w:pPr>
        <w:spacing w:after="120"/>
      </w:pPr>
      <w:r>
        <w:t xml:space="preserve">The Home Readiness Index is a composite score (0–100) that reflects the user's actual home preparedness, not their app usage. It is composed of sub-scores along several dimensions, each independently meaningful and individually targetable. The reference design is the LastPass Security Score: a calm, honest, persistently-useful measurement of a state the user actually cares about.</w:t>
      </w:r>
    </w:p>
    <w:p>
      <w:pPr>
        <w:spacing w:after="120"/>
      </w:pPr>
      <w:r>
        <w:t xml:space="preserve">Sub-score dimensions:</w:t>
      </w:r>
    </w:p>
    <w:p>
      <w:pPr>
        <w:pStyle w:val="ListParagraph"/>
        <w:numPr>
          <w:ilvl w:val="0"/>
          <w:numId w:val="2"/>
        </w:numPr>
        <w:spacing w:after="80"/>
      </w:pPr>
      <w:r>
        <w:t xml:space="preserve">Emergency Readiness — shutoffs documented and exercised, emergency contacts saved</w:t>
      </w:r>
    </w:p>
    <w:p>
      <w:pPr>
        <w:pStyle w:val="ListParagraph"/>
        <w:numPr>
          <w:ilvl w:val="0"/>
          <w:numId w:val="2"/>
        </w:numPr>
        <w:spacing w:after="80"/>
      </w:pPr>
      <w:r>
        <w:t xml:space="preserve">System Inventory — major systems documented with brand, model, age, location</w:t>
      </w:r>
    </w:p>
    <w:p>
      <w:pPr>
        <w:pStyle w:val="ListParagraph"/>
        <w:numPr>
          <w:ilvl w:val="0"/>
          <w:numId w:val="2"/>
        </w:numPr>
        <w:spacing w:after="80"/>
      </w:pPr>
      <w:r>
        <w:t xml:space="preserve">Maintenance Currency — recommended maintenance current for each system</w:t>
      </w:r>
    </w:p>
    <w:p>
      <w:pPr>
        <w:pStyle w:val="ListParagraph"/>
        <w:numPr>
          <w:ilvl w:val="0"/>
          <w:numId w:val="2"/>
        </w:numPr>
        <w:spacing w:after="80"/>
      </w:pPr>
      <w:r>
        <w:t xml:space="preserve">Records and Documents — insurance, deed, survey, warranties, recent service receipts on file</w:t>
      </w:r>
    </w:p>
    <w:p>
      <w:pPr>
        <w:pStyle w:val="ListParagraph"/>
        <w:numPr>
          <w:ilvl w:val="0"/>
          <w:numId w:val="2"/>
        </w:numPr>
        <w:spacing w:after="80"/>
      </w:pPr>
      <w:r>
        <w:t xml:space="preserve">Contractor Network — trusted service providers saved across major trade categories</w:t>
      </w:r>
    </w:p>
    <w:p>
      <w:pPr>
        <w:pStyle w:val="ListParagraph"/>
        <w:numPr>
          <w:ilvl w:val="0"/>
          <w:numId w:val="2"/>
        </w:numPr>
        <w:spacing w:after="80"/>
      </w:pPr>
      <w:r>
        <w:t xml:space="preserve">Property Intelligence — Day One Briefing reviewed, flagged risks acted on</w:t>
      </w:r>
    </w:p>
    <w:p>
      <w:r>
        <w:t xml:space="preserve"/>
      </w:r>
    </w:p>
    <w:p>
      <w:pPr>
        <w:spacing w:after="120"/>
      </w:pPr>
      <w:r>
        <w:t xml:space="preserve">Design rules for the score:</w:t>
      </w:r>
    </w:p>
    <w:p>
      <w:pPr>
        <w:pStyle w:val="ListParagraph"/>
        <w:numPr>
          <w:ilvl w:val="0"/>
          <w:numId w:val="2"/>
        </w:numPr>
        <w:spacing w:after="80"/>
      </w:pPr>
      <w:r>
        <w:t xml:space="preserve">Honest — the score must be capable of being low; new users start where they actually are</w:t>
      </w:r>
    </w:p>
    <w:p>
      <w:pPr>
        <w:pStyle w:val="ListParagraph"/>
        <w:numPr>
          <w:ilvl w:val="0"/>
          <w:numId w:val="2"/>
        </w:numPr>
        <w:spacing w:after="80"/>
      </w:pPr>
      <w:r>
        <w:t xml:space="preserve">Decay — maintenance items expire over time, so the score naturally decreases if the user does nothing, and rises again when they act. This is intrinsic to the domain, not an artificial engagement mechanic</w:t>
      </w:r>
    </w:p>
    <w:p>
      <w:pPr>
        <w:pStyle w:val="ListParagraph"/>
        <w:numPr>
          <w:ilvl w:val="0"/>
          <w:numId w:val="2"/>
        </w:numPr>
        <w:spacing w:after="80"/>
      </w:pPr>
      <w:r>
        <w:t xml:space="preserve">Transparent — when the score changes, the user sees why: "Your score went down five points because we have no record of maintenance on your water heater. Here's why that matters."</w:t>
      </w:r>
    </w:p>
    <w:p>
      <w:pPr>
        <w:pStyle w:val="ListParagraph"/>
        <w:numPr>
          <w:ilvl w:val="0"/>
          <w:numId w:val="2"/>
        </w:numPr>
        <w:spacing w:after="80"/>
      </w:pPr>
      <w:r>
        <w:t xml:space="preserve">Calm — no red angry indicators, no shame-based language, no streaks, no daily login bonuses, no manufactured urgency</w:t>
      </w:r>
    </w:p>
    <w:p>
      <w:pPr>
        <w:pStyle w:val="ListParagraph"/>
        <w:numPr>
          <w:ilvl w:val="0"/>
          <w:numId w:val="2"/>
        </w:numPr>
        <w:spacing w:after="80"/>
      </w:pPr>
      <w:r>
        <w:t xml:space="preserve">Targetable — the user can see which dimension is lowest and act on it</w:t>
      </w:r>
    </w:p>
    <w:p>
      <w:pPr>
        <w:pStyle w:val="ListParagraph"/>
        <w:numPr>
          <w:ilvl w:val="0"/>
          <w:numId w:val="2"/>
        </w:numPr>
        <w:spacing w:after="80"/>
      </w:pPr>
      <w:r>
        <w:t xml:space="preserve">Bootstrapped — Day One Briefing data gives the user a starting score above zero so progress begins immediately</w:t>
      </w:r>
    </w:p>
    <w:p>
      <w:pPr>
        <w:pStyle w:val="Heading2"/>
      </w:pPr>
      <w:r>
        <w:t xml:space="preserve">3.11 The hero dashboard</w:t>
      </w:r>
    </w:p>
    <w:p>
      <w:pPr>
        <w:spacing w:after="120"/>
      </w:pPr>
      <w:r>
        <w:t xml:space="preserve">The dashboard the user sees when they open the app shows the Home Readiness Index with its sub-scores, the next best actions to improve it, the verification queue (if anything is waiting), recent activity, and what is due soon. The score and its hints are the centerpiece — "want to improve your score? Upload a picture of your water softener" — because most users do not know what they should do next, and the score becomes the routing function for what the product suggests.</w:t>
      </w:r>
    </w:p>
    <w:p>
      <w:pPr>
        <w:pStyle w:val="Heading2"/>
      </w:pPr>
      <w:r>
        <w:t xml:space="preserve">3.12 The pre-listing export</w:t>
      </w:r>
    </w:p>
    <w:p>
      <w:pPr>
        <w:spacing w:after="120"/>
      </w:pPr>
      <w:r>
        <w:t xml:space="preserve">When the user sells the house, the product produces a polished export package: a structured document with the house's history, system inventory, maintenance records, contractor relationships, and key documents, suitable for inclusion in the listing or transfer to the new owner. This is a high-intent monetization moment (a paid premium feature in the $99–$299 range), and it is also where the handoff thesis pays off: the next owner inherits institutional knowledge that would otherwise be lost.</w:t>
      </w:r>
    </w:p>
    <w:p>
      <w:pPr>
        <w:pStyle w:val="Heading1"/>
      </w:pPr>
      <w:r>
        <w:t xml:space="preserve">4. Safety and liability</w:t>
      </w:r>
    </w:p>
    <w:p>
      <w:pPr>
        <w:spacing w:after="120"/>
      </w:pPr>
      <w:r>
        <w:t xml:space="preserve">The product's value proposition (helping homeowners understand their physical systems) is structurally in tension with liability exposure (homeowners acting on AI guidance and getting hurt or causing damage). The right response is calibrated, visible, consistent design discipline — not heavy disclaimers or maximum caution.</w:t>
      </w:r>
    </w:p>
    <w:p>
      <w:pPr>
        <w:pStyle w:val="Heading2"/>
      </w:pPr>
      <w:r>
        <w:t xml:space="preserve">4.1 The four-tier model for physical action guidance</w:t>
      </w:r>
    </w:p>
    <w:p>
      <w:pPr>
        <w:spacing w:after="120"/>
      </w:pPr>
      <w:r>
        <w:t xml:space="preserve">Every action the product suggests is classified into one of four tiers. Different tiers get different treatment in the UI, the language, and the level of detail provided.</w:t>
      </w:r>
    </w:p>
    <w:p>
      <w:pPr>
        <w:spacing w:after="120" w:before="120"/>
      </w:pPr>
      <w:r>
        <w:rPr>
          <w:b/>
          <w:bCs/>
        </w:rPr>
        <w:t xml:space="preserve">Tier 1 — Routine homeowner action. </w:t>
      </w:r>
      <w:r>
        <w:t xml:space="preserve">Filter changes, battery replacements, lint trap cleaning, garbage disposal flushing, smoke detector testing, toilet flapper inspection. The product gives clear, complete guidance with basic safety framing.</w:t>
      </w:r>
    </w:p>
    <w:p>
      <w:pPr>
        <w:spacing w:after="120" w:before="120"/>
      </w:pPr>
      <w:r>
        <w:rPr>
          <w:b/>
          <w:bCs/>
        </w:rPr>
        <w:t xml:space="preserve">Tier 2 — Light DIY with explicit safety guardrails. </w:t>
      </w:r>
      <w:r>
        <w:t xml:space="preserve">Water heater flushing, valve exercising, faucet aerator replacement, GFCI testing, dryer vent cleaning. The product provides guidance with mandatory safety steps called out, clear stop conditions ("if you see X, stop and call a professional"), and an explicit acknowledgment the user is choosing to proceed.</w:t>
      </w:r>
    </w:p>
    <w:p>
      <w:pPr>
        <w:spacing w:after="120" w:before="120"/>
      </w:pPr>
      <w:r>
        <w:rPr>
          <w:b/>
          <w:bCs/>
        </w:rPr>
        <w:t xml:space="preserve">Tier 3 — Default to professional. </w:t>
      </w:r>
      <w:r>
        <w:t xml:space="preserve">Anode rod replacement, water heater replacement, garbage disposal replacement, addressing stuck shutoffs. The product's default response is "this is a job for a licensed [trade]; here is what to expect." If the user indicates they want to do it themselves, deeper guidance is available with strong safety framing and bailout points.</w:t>
      </w:r>
    </w:p>
    <w:p>
      <w:pPr>
        <w:spacing w:after="120" w:before="120"/>
      </w:pPr>
      <w:r>
        <w:rPr>
          <w:b/>
          <w:bCs/>
        </w:rPr>
        <w:t xml:space="preserve">Tier 4 — Professional only. </w:t>
      </w:r>
      <w:r>
        <w:t xml:space="preserve">Anything beyond the panel dead-front, gas line work, refrigerant work, structural modification, asbestos or lead disturbance, sewer line work, anything requiring a permit. The product explains what is involved at a conceptual level so the user can have an informed conversation with a contractor, but will not walk through DIY execution.</w:t>
      </w:r>
    </w:p>
    <w:p>
      <w:pPr>
        <w:pStyle w:val="Heading2"/>
      </w:pPr>
      <w:r>
        <w:t xml:space="preserve">4.2 In-context safety patterns</w:t>
      </w:r>
    </w:p>
    <w:p>
      <w:pPr>
        <w:spacing w:after="120"/>
      </w:pPr>
      <w:r>
        <w:t xml:space="preserve">Several patterns are product-level requirements, not optional UI decisions. They apply across every feature that involves guiding the user toward physical action.</w:t>
      </w:r>
    </w:p>
    <w:p>
      <w:pPr>
        <w:pStyle w:val="ListParagraph"/>
        <w:numPr>
          <w:ilvl w:val="0"/>
          <w:numId w:val="2"/>
        </w:numPr>
        <w:spacing w:after="80"/>
      </w:pPr>
      <w:r>
        <w:t xml:space="preserve">Stop conditions in every guided workflow ("if you see corrosion or weeping at the valve body, stop and call a plumber")</w:t>
      </w:r>
    </w:p>
    <w:p>
      <w:pPr>
        <w:pStyle w:val="ListParagraph"/>
        <w:numPr>
          <w:ilvl w:val="0"/>
          <w:numId w:val="2"/>
        </w:numPr>
        <w:spacing w:after="80"/>
      </w:pPr>
      <w:r>
        <w:t xml:space="preserve">Tool requirements stated up front — improvised tools are a leading cause of DIY injury</w:t>
      </w:r>
    </w:p>
    <w:p>
      <w:pPr>
        <w:pStyle w:val="ListParagraph"/>
        <w:numPr>
          <w:ilvl w:val="0"/>
          <w:numId w:val="2"/>
        </w:numPr>
        <w:spacing w:after="80"/>
      </w:pPr>
      <w:r>
        <w:t xml:space="preserve">Acknowledged scope of the product's knowledge — be explicit about what visual inspection cannot tell</w:t>
      </w:r>
    </w:p>
    <w:p>
      <w:pPr>
        <w:pStyle w:val="ListParagraph"/>
        <w:numPr>
          <w:ilvl w:val="0"/>
          <w:numId w:val="2"/>
        </w:numPr>
        <w:spacing w:after="80"/>
      </w:pPr>
      <w:r>
        <w:t xml:space="preserve">Mandatory de-energization and depressurization checks for tier 2 and above</w:t>
      </w:r>
    </w:p>
    <w:p>
      <w:pPr>
        <w:pStyle w:val="ListParagraph"/>
        <w:numPr>
          <w:ilvl w:val="0"/>
          <w:numId w:val="2"/>
        </w:numPr>
        <w:spacing w:after="80"/>
      </w:pPr>
      <w:r>
        <w:t xml:space="preserve">Professional referral as a first-class feature, not a footnote — if "call a pro" is the safe answer, it must be the easy answer too</w:t>
      </w:r>
    </w:p>
    <w:p>
      <w:pPr>
        <w:pStyle w:val="ListParagraph"/>
        <w:numPr>
          <w:ilvl w:val="0"/>
          <w:numId w:val="2"/>
        </w:numPr>
        <w:spacing w:after="80"/>
      </w:pPr>
      <w:r>
        <w:t xml:space="preserve">Emergency information surfaced contextually — main shutoff one tap away when discussing anything water-related</w:t>
      </w:r>
    </w:p>
    <w:p>
      <w:pPr>
        <w:pStyle w:val="ListParagraph"/>
        <w:numPr>
          <w:ilvl w:val="0"/>
          <w:numId w:val="2"/>
        </w:numPr>
        <w:spacing w:after="80"/>
      </w:pPr>
      <w:r>
        <w:t xml:space="preserve">Confidence calibration in identification, with verification suggestions when the AI is uncertain</w:t>
      </w:r>
    </w:p>
    <w:p>
      <w:pPr>
        <w:pStyle w:val="Heading2"/>
      </w:pPr>
      <w:r>
        <w:t xml:space="preserve">4.3 Language conventions</w:t>
      </w:r>
    </w:p>
    <w:p>
      <w:pPr>
        <w:spacing w:after="120"/>
      </w:pPr>
      <w:r>
        <w:t xml:space="preserve">The product uses precise language to maintain the distinction between information and direction. The product identifies, suggests, indicates, and appears; it does not diagnose, inspect, certify, approve, or guarantee. This is partly a legal distinction and partly an honest reflection of the product's actual role.</w:t>
      </w:r>
    </w:p>
    <w:p>
      <w:pPr>
        <w:pStyle w:val="Heading2"/>
      </w:pPr>
      <w:r>
        <w:t xml:space="preserve">4.4 Operational requirements</w:t>
      </w:r>
    </w:p>
    <w:p>
      <w:pPr>
        <w:pStyle w:val="ListParagraph"/>
        <w:numPr>
          <w:ilvl w:val="0"/>
          <w:numId w:val="2"/>
        </w:numPr>
        <w:spacing w:after="80"/>
      </w:pPr>
      <w:r>
        <w:t xml:space="preserve">A risk classification document is maintained internally listing every guidance category and its tier; new features get tier assignments at design review</w:t>
      </w:r>
    </w:p>
    <w:p>
      <w:pPr>
        <w:pStyle w:val="ListParagraph"/>
        <w:numPr>
          <w:ilvl w:val="0"/>
          <w:numId w:val="2"/>
        </w:numPr>
        <w:spacing w:after="80"/>
      </w:pPr>
      <w:r>
        <w:t xml:space="preserve">Audit trail of guidance given is logged with the tier classification — protective both legally and for product improvement</w:t>
      </w:r>
    </w:p>
    <w:p>
      <w:pPr>
        <w:pStyle w:val="ListParagraph"/>
        <w:numPr>
          <w:ilvl w:val="0"/>
          <w:numId w:val="2"/>
        </w:numPr>
        <w:spacing w:after="80"/>
      </w:pPr>
      <w:r>
        <w:t xml:space="preserve">Mandatory user acknowledgment for tier 2 and 3 guidance before detailed instruction is shown</w:t>
      </w:r>
    </w:p>
    <w:p>
      <w:pPr>
        <w:pStyle w:val="ListParagraph"/>
        <w:numPr>
          <w:ilvl w:val="0"/>
          <w:numId w:val="2"/>
        </w:numPr>
        <w:spacing w:after="80"/>
      </w:pPr>
      <w:r>
        <w:t xml:space="preserve">Insurance — general liability plus errors and omissions, sized appropriately</w:t>
      </w:r>
    </w:p>
    <w:p>
      <w:pPr>
        <w:pStyle w:val="ListParagraph"/>
        <w:numPr>
          <w:ilvl w:val="0"/>
          <w:numId w:val="2"/>
        </w:numPr>
        <w:spacing w:after="80"/>
      </w:pPr>
      <w:r>
        <w:t xml:space="preserve">Standard ToS protections (limitation of liability, arbitration, class action waiver)</w:t>
      </w:r>
    </w:p>
    <w:p>
      <w:pPr>
        <w:pStyle w:val="ListParagraph"/>
        <w:numPr>
          <w:ilvl w:val="0"/>
          <w:numId w:val="2"/>
        </w:numPr>
        <w:spacing w:after="80"/>
      </w:pPr>
      <w:r>
        <w:t xml:space="preserve">Periodic red-teaming — someone on the team probes the safety model to find where it breaks down</w:t>
      </w:r>
    </w:p>
    <w:p>
      <w:pPr>
        <w:pStyle w:val="Heading1"/>
      </w:pPr>
      <w:r>
        <w:t xml:space="preserve">5. User experience philosophy</w:t>
      </w:r>
    </w:p>
    <w:p>
      <w:pPr>
        <w:pStyle w:val="Heading2"/>
      </w:pPr>
      <w:r>
        <w:t xml:space="preserve">5.1 Friction is the enemy</w:t>
      </w:r>
    </w:p>
    <w:p>
      <w:pPr>
        <w:spacing w:after="120"/>
      </w:pPr>
      <w:r>
        <w:t xml:space="preserve">Every required field, every mandatory categorization step, every "please confirm" interrupts the user and reduces the likelihood the corpus ever gets built. The product should default to acting on the user's behalf and asking for correction, rather than asking the user to act on its behalf.</w:t>
      </w:r>
    </w:p>
    <w:p>
      <w:pPr>
        <w:pStyle w:val="Heading2"/>
      </w:pPr>
      <w:r>
        <w:t xml:space="preserve">5.2 Emergencies are when the product is tested</w:t>
      </w:r>
    </w:p>
    <w:p>
      <w:pPr>
        <w:spacing w:after="120"/>
      </w:pPr>
      <w:r>
        <w:t xml:space="preserve">If the user cannot find their main water shutoff video within ten seconds during a basement flood, the product has failed at its most important moment. Emergency-mode design — large touch targets, no menus, video first, location prominent, emergency contacts one tap away — is not a feature; it is a core requirement. The product's value will be judged on this moment more than any other.</w:t>
      </w:r>
    </w:p>
    <w:p>
      <w:pPr>
        <w:pStyle w:val="Heading2"/>
      </w:pPr>
      <w:r>
        <w:t xml:space="preserve">5.3 Cross-device continuity is non-negotiable</w:t>
      </w:r>
    </w:p>
    <w:p>
      <w:pPr>
        <w:spacing w:after="120"/>
      </w:pPr>
      <w:r>
        <w:t xml:space="preserve">Capture happens on the phone. Serious review happens on the desktop. They must be the same product with the same state. The verification queue, the inventory, the chat — everything synchronizes in real time. The mental model is Gmail, not a mobile app with a web companion.</w:t>
      </w:r>
    </w:p>
    <w:p>
      <w:pPr>
        <w:pStyle w:val="Heading2"/>
      </w:pPr>
      <w:r>
        <w:t xml:space="preserve">5.4 Tone and presence</w:t>
      </w:r>
    </w:p>
    <w:p>
      <w:pPr>
        <w:spacing w:after="120"/>
      </w:pPr>
      <w:r>
        <w:t xml:space="preserve">The product is a calm, knowledgeable companion. It is direct without being curt. It is honest about uncertainty. It does not nag, shame, or manipulate. It treats the user as a competent adult who is responsible for their own house. It surfaces information and trusts the user to decide.</w:t>
      </w:r>
    </w:p>
    <w:p>
      <w:pPr>
        <w:pStyle w:val="Heading2"/>
      </w:pPr>
      <w:r>
        <w:t xml:space="preserve">5.5 Compound value through accumulated data</w:t>
      </w:r>
    </w:p>
    <w:p>
      <w:pPr>
        <w:spacing w:after="120"/>
      </w:pPr>
      <w:r>
        <w:t xml:space="preserve">The product gets dramatically more useful the more documents and photos accumulate. The first month is the hardest because the app is the dumbest about the specific house; by month six it is anticipating the user's needs. This should be communicated to users explicitly — both as motivation for early effort and as honest framing for what to expect.</w:t>
      </w:r>
    </w:p>
    <w:p>
      <w:pPr>
        <w:pStyle w:val="Heading1"/>
      </w:pPr>
      <w:r>
        <w:t xml:space="preserve">6. Architecture notes</w:t>
      </w:r>
    </w:p>
    <w:p>
      <w:pPr>
        <w:spacing w:after="120"/>
      </w:pPr>
      <w:r>
        <w:t xml:space="preserve">Detailed architecture is deferred to a future session, but several decisions have been made or strongly implied by the design above.</w:t>
      </w:r>
    </w:p>
    <w:p>
      <w:pPr>
        <w:pStyle w:val="ListParagraph"/>
        <w:numPr>
          <w:ilvl w:val="0"/>
          <w:numId w:val="2"/>
        </w:numPr>
        <w:spacing w:after="80"/>
      </w:pPr>
      <w:r>
        <w:rPr>
          <w:b/>
          <w:bCs/>
        </w:rPr>
        <w:t xml:space="preserve">Foundation in the Echoes pipeline. </w:t>
      </w:r>
      <w:r>
        <w:t xml:space="preserve">The mobile capture, OCR, structured LLM extraction, and embedding-based RAG architecture from the Echoes family archive app translates directly. Hearth differs in the domain-specific extraction schemas (receipts vs. equipment labels vs. permits all route to different extractors) and the inventory-grounded classification logic.</w:t>
      </w:r>
    </w:p>
    <w:p>
      <w:pPr>
        <w:pStyle w:val="ListParagraph"/>
        <w:numPr>
          <w:ilvl w:val="0"/>
          <w:numId w:val="2"/>
        </w:numPr>
        <w:spacing w:after="80"/>
      </w:pPr>
      <w:r>
        <w:rPr>
          <w:b/>
          <w:bCs/>
        </w:rPr>
        <w:t xml:space="preserve">Server-side queue with real-time sync. </w:t>
      </w:r>
      <w:r>
        <w:t xml:space="preserve">The verification queue and inventory are server-side, synchronized to all clients. The phone, web, and any future native clients are views on the same state.</w:t>
      </w:r>
    </w:p>
    <w:p>
      <w:pPr>
        <w:pStyle w:val="ListParagraph"/>
        <w:numPr>
          <w:ilvl w:val="0"/>
          <w:numId w:val="2"/>
        </w:numPr>
        <w:spacing w:after="80"/>
      </w:pPr>
      <w:r>
        <w:rPr>
          <w:b/>
          <w:bCs/>
        </w:rPr>
        <w:t xml:space="preserve">Asynchronous processing. </w:t>
      </w:r>
      <w:r>
        <w:t xml:space="preserve">The user never waits at the camera screen. Captures land in the pipeline and the user moves on; results appear when ready.</w:t>
      </w:r>
    </w:p>
    <w:p>
      <w:pPr>
        <w:pStyle w:val="ListParagraph"/>
        <w:numPr>
          <w:ilvl w:val="0"/>
          <w:numId w:val="2"/>
        </w:numPr>
        <w:spacing w:after="80"/>
      </w:pPr>
      <w:r>
        <w:rPr>
          <w:b/>
          <w:bCs/>
        </w:rPr>
        <w:t xml:space="preserve">Multiple ingestion channels, one pipeline. </w:t>
      </w:r>
      <w:r>
        <w:t xml:space="preserve">Camera, share-sheet, drag-and-drop, email forwarding all produce the same document object in the same queue. The pipeline is channel-agnostic.</w:t>
      </w:r>
    </w:p>
    <w:p>
      <w:pPr>
        <w:pStyle w:val="ListParagraph"/>
        <w:numPr>
          <w:ilvl w:val="0"/>
          <w:numId w:val="2"/>
        </w:numPr>
        <w:spacing w:after="80"/>
      </w:pPr>
      <w:r>
        <w:rPr>
          <w:b/>
          <w:bCs/>
        </w:rPr>
        <w:t xml:space="preserve">Supabase as the backend (working assumption). </w:t>
      </w:r>
      <w:r>
        <w:t xml:space="preserve">Schema design is deferred but Supabase is the assumed Postgres-based backend.</w:t>
      </w:r>
    </w:p>
    <w:p>
      <w:pPr>
        <w:pStyle w:val="ListParagraph"/>
        <w:numPr>
          <w:ilvl w:val="0"/>
          <w:numId w:val="2"/>
        </w:numPr>
        <w:spacing w:after="80"/>
      </w:pPr>
      <w:r>
        <w:rPr>
          <w:b/>
          <w:bCs/>
        </w:rPr>
        <w:t xml:space="preserve">Public records integration. </w:t>
      </w:r>
      <w:r>
        <w:t xml:space="preserve">The Day One Briefing depends on data from ATTOM/Estated/CoreLogic or equivalents, county GIS systems (BS&amp;A for Michigan), EPA datasets, FEMA flood data, and similar sources. The integration depth ranges from basic public-data sweeps to per-county deep integration where the addressable market justifies it.</w:t>
      </w:r>
    </w:p>
    <w:p>
      <w:pPr>
        <w:pStyle w:val="ListParagraph"/>
        <w:numPr>
          <w:ilvl w:val="0"/>
          <w:numId w:val="2"/>
        </w:numPr>
        <w:spacing w:after="80"/>
      </w:pPr>
      <w:r>
        <w:rPr>
          <w:b/>
          <w:bCs/>
        </w:rPr>
        <w:t xml:space="preserve">Confidence-scored extraction. </w:t>
      </w:r>
      <w:r>
        <w:t xml:space="preserve">Every extracted field carries a confidence score. UI behavior (auto-file vs. queue vs. ask) depends on it. Thresholds tune over time as accuracy improves.</w:t>
      </w:r>
    </w:p>
    <w:p>
      <w:pPr>
        <w:pStyle w:val="ListParagraph"/>
        <w:numPr>
          <w:ilvl w:val="0"/>
          <w:numId w:val="2"/>
        </w:numPr>
        <w:spacing w:after="80"/>
      </w:pPr>
      <w:r>
        <w:rPr>
          <w:b/>
          <w:bCs/>
        </w:rPr>
        <w:t xml:space="preserve">Reversibility everywhere. </w:t>
      </w:r>
      <w:r>
        <w:t xml:space="preserve">Every auto-classification is reversible with a single action. The product never gets stuck with bad data because the user has no way to fix it.</w:t>
      </w:r>
    </w:p>
    <w:p>
      <w:pPr>
        <w:pStyle w:val="Heading1"/>
      </w:pPr>
      <w:r>
        <w:t xml:space="preserve">7. Business model</w:t>
      </w:r>
    </w:p>
    <w:p>
      <w:pPr>
        <w:spacing w:after="120"/>
      </w:pPr>
      <w:r>
        <w:t xml:space="preserve">The model is a great free service with thoughtful premium and meaningful B2B2C, not aggressive subscription SaaS. The insurance path receives extended treatment at the end of this section because it is the most strategically significant revenue opportunity and shapes early design decisions.</w:t>
      </w:r>
    </w:p>
    <w:p>
      <w:pPr>
        <w:pStyle w:val="Heading2"/>
      </w:pPr>
      <w:r>
        <w:t xml:space="preserve">7.1 Consumer free tier</w:t>
      </w:r>
    </w:p>
    <w:p>
      <w:pPr>
        <w:spacing w:after="120"/>
      </w:pPr>
      <w:r>
        <w:t xml:space="preserve">Free covers genuine value: document storage, photo and video ingestion, chat, single property, Day One Briefing, basic seasonal tasks, and full emergency reference. The free tier needs to be good enough that users get past the months-2-through-6 churn cliff and reach the data-richness threshold where the product becomes sticky.</w:t>
      </w:r>
    </w:p>
    <w:p>
      <w:pPr>
        <w:pStyle w:val="Heading2"/>
      </w:pPr>
      <w:r>
        <w:t xml:space="preserve">7.2 Consumer premium</w:t>
      </w:r>
    </w:p>
    <w:p>
      <w:pPr>
        <w:spacing w:after="120"/>
      </w:pPr>
      <w:r>
        <w:t xml:space="preserve">Premium ($49–79/year) unlocks multi-property, family sharing, advanced AI features, deeper integrations, and the pre-listing export package. High-intent moments like sale time may carry one-time premium charges ($99–299 for a polished pre-listing export).</w:t>
      </w:r>
    </w:p>
    <w:p>
      <w:pPr>
        <w:pStyle w:val="Heading2"/>
      </w:pPr>
      <w:r>
        <w:t xml:space="preserve">7.3 Affiliate revenue from consumables and services</w:t>
      </w:r>
    </w:p>
    <w:p>
      <w:pPr>
        <w:spacing w:after="120"/>
      </w:pPr>
      <w:r>
        <w:t xml:space="preserve">The product knows what the user has and what each piece of equipment consumes — HVAC filters of a specific size and MERV rating, refrigerator water filters of a specific model, water softener salt, smoke detector batteries, anode rods, and so on. One-tap reorder of the exact consumable replaces the user's current workflow of digging through Amazon order history. This is both a revenue source and a retention engine: users who reorder through the product once are far more likely to reorder again, and the value is felt directly each time.</w:t>
      </w:r>
    </w:p>
    <w:p>
      <w:pPr>
        <w:spacing w:after="120"/>
      </w:pPr>
      <w:r>
        <w:t xml:space="preserve">The realistic per-user economics are smaller than people initially guess but meaningful at scale, and they stack on top of subscription and B2B2C revenue.</w:t>
      </w:r>
    </w:p>
    <w:p>
      <w:pPr>
        <w:spacing w:after="120"/>
      </w:pPr>
      <w:r>
        <w:rPr>
          <w:b/>
          <w:bCs/>
        </w:rPr>
        <w:t xml:space="preserve">Amazon Associates (the baseline). </w:t>
      </w:r>
      <w:r>
        <w:t xml:space="preserve">Commission rates have been cut over the years and are category-dependent. Home Improvement, Tools, and Appliances pay 3%. A $25 furnace filter generates $0.75; a $40 anode rod generates $1.20. Realistic engaged-user annual revenue from Amazon Associates alone: $8-15. Realistic blended average across all users including non-engaged ones: $2-5/year.</w:t>
      </w:r>
    </w:p>
    <w:p>
      <w:pPr>
        <w:spacing w:after="120"/>
      </w:pPr>
      <w:r>
        <w:rPr>
          <w:b/>
          <w:bCs/>
        </w:rPr>
        <w:t xml:space="preserve">Specialty affiliate programs. </w:t>
      </w:r>
      <w:r>
        <w:t xml:space="preserve">FilterBuy, Filterking, and HVAC filter specialists pay 8-15%. Water filtration sites (Discount Filter Store, Aquasana) pay 5-10%. Home Depot affiliate pays 1-8%, Lowe's 2-8%. SupplyHouse and plumbing supply specialists pay 4-8%. Theoretical revenue is 3-5x Amazon; realized revenue is more like 1.5-2x because conversion drops on less-familiar retailers.</w:t>
      </w:r>
    </w:p>
    <w:p>
      <w:pPr>
        <w:spacing w:after="120"/>
      </w:pPr>
      <w:r>
        <w:rPr>
          <w:b/>
          <w:bCs/>
        </w:rPr>
        <w:t xml:space="preserve">Subscribe &amp; Save adoption. </w:t>
      </w:r>
      <w:r>
        <w:t xml:space="preserve">Amazon's recurring subscription model pays the same 3% but converts dramatically better because it's set-once. A user who subscribes to filters through the product is a long-tail revenue stream that pays out for years without further effort. This is probably the single highest-leverage affiliate behavior to encourage in the product UX.</w:t>
      </w:r>
    </w:p>
    <w:p>
      <w:pPr>
        <w:spacing w:after="120"/>
      </w:pPr>
      <w:r>
        <w:rPr>
          <w:b/>
          <w:bCs/>
        </w:rPr>
        <w:t xml:space="preserve">Local pickup links. </w:t>
      </w:r>
      <w:r>
        <w:t xml:space="preserve">Heavy, low-margin items (water softener salt is the canonical example) are typically bought in-person rather than shipped. "Here's the exact item, here's the closest store with it in stock" links to Home Depot or Lowe's capture affiliate revenue on purchases the product would otherwise lose entirely.</w:t>
      </w:r>
    </w:p>
    <w:p>
      <w:pPr>
        <w:spacing w:after="120"/>
      </w:pPr>
      <w:r>
        <w:rPr>
          <w:b/>
          <w:bCs/>
        </w:rPr>
        <w:t xml:space="preserve">Service-call lead generation. </w:t>
      </w:r>
      <w:r>
        <w:t xml:space="preserve">Strictly speaking adjacent to consumables but worth flagging because the numbers are dramatically larger. When the product recommends professional service and routes the user to a vetted local contractor, lead-generation fees of $15-80 per qualified lead apply (the rates HomeAdvisor, Angi, and Thumbtack charge contractors). A single plumber lead at a high-intent moment (water heater replacement, panel upgrade) can be worth $50-200 by itself.</w:t>
      </w:r>
    </w:p>
    <w:p>
      <w:r>
        <w:t xml:space="preserve"/>
      </w:r>
    </w:p>
    <w:p>
      <w:pPr>
        <w:spacing w:after="120"/>
      </w:pPr>
      <w:r>
        <w:t xml:space="preserve">Realistic blended per-user annual affiliate revenue:</w:t>
      </w:r>
    </w:p>
    <w:p>
      <w:pPr>
        <w:pStyle w:val="ListParagraph"/>
        <w:numPr>
          <w:ilvl w:val="0"/>
          <w:numId w:val="2"/>
        </w:numPr>
        <w:spacing w:after="80"/>
      </w:pPr>
      <w:r>
        <w:t xml:space="preserve">Casual user, only occasional reorders: </w:t>
      </w:r>
      <w:r>
        <w:rPr>
          <w:b/>
          <w:bCs/>
        </w:rPr>
        <w:t xml:space="preserve">$1-3/year</w:t>
      </w:r>
    </w:p>
    <w:p>
      <w:pPr>
        <w:pStyle w:val="ListParagraph"/>
        <w:numPr>
          <w:ilvl w:val="0"/>
          <w:numId w:val="2"/>
        </w:numPr>
        <w:spacing w:after="80"/>
      </w:pPr>
      <w:r>
        <w:t xml:space="preserve">Engaged user, Amazon Associates only: </w:t>
      </w:r>
      <w:r>
        <w:rPr>
          <w:b/>
          <w:bCs/>
        </w:rPr>
        <w:t xml:space="preserve">$8-15/year</w:t>
      </w:r>
    </w:p>
    <w:p>
      <w:pPr>
        <w:pStyle w:val="ListParagraph"/>
        <w:numPr>
          <w:ilvl w:val="0"/>
          <w:numId w:val="2"/>
        </w:numPr>
        <w:spacing w:after="80"/>
      </w:pPr>
      <w:r>
        <w:t xml:space="preserve">Engaged user, mixed Amazon + specialty retailers: </w:t>
      </w:r>
      <w:r>
        <w:rPr>
          <w:b/>
          <w:bCs/>
        </w:rPr>
        <w:t xml:space="preserve">$15-35/year</w:t>
      </w:r>
    </w:p>
    <w:p>
      <w:pPr>
        <w:pStyle w:val="ListParagraph"/>
        <w:numPr>
          <w:ilvl w:val="0"/>
          <w:numId w:val="2"/>
        </w:numPr>
        <w:spacing w:after="80"/>
      </w:pPr>
      <w:r>
        <w:t xml:space="preserve">Engaged user, includes Subscribe &amp; Save adoption: </w:t>
      </w:r>
      <w:r>
        <w:rPr>
          <w:b/>
          <w:bCs/>
        </w:rPr>
        <w:t xml:space="preserve">$20-50/year</w:t>
      </w:r>
    </w:p>
    <w:p>
      <w:pPr>
        <w:pStyle w:val="ListParagraph"/>
        <w:numPr>
          <w:ilvl w:val="0"/>
          <w:numId w:val="2"/>
        </w:numPr>
        <w:spacing w:after="80"/>
      </w:pPr>
      <w:r>
        <w:t xml:space="preserve">Engaged user, includes occasional service-call leads: </w:t>
      </w:r>
      <w:r>
        <w:rPr>
          <w:b/>
          <w:bCs/>
        </w:rPr>
        <w:t xml:space="preserve">$40-100/year</w:t>
      </w:r>
    </w:p>
    <w:p>
      <w:r>
        <w:t xml:space="preserve"/>
      </w:r>
    </w:p>
    <w:p>
      <w:pPr>
        <w:spacing w:after="120"/>
      </w:pPr>
      <w:r>
        <w:t xml:space="preserve">A realistic blended ARPU across all users (most of whom won't engage with reorders) is probably $5-15/year from affiliate alone. At 10,000 users that's $50K-150K/year; at 100,000 it's $500K-1.5M/year. Not enough to fund the product on its own but pure-margin, aligned with user value, and growing as users accumulate more equipment.</w:t>
      </w:r>
    </w:p>
    <w:p>
      <w:pPr>
        <w:spacing w:after="120"/>
      </w:pPr>
      <w:r>
        <w:t xml:space="preserve">Tactical recommendation: start with Amazon Associates because integration is simple and user trust is high. Add specialty affiliates (FilterBuy for HVAC, one water filtration partner) once traffic justifies the work. Add Home Depot/Lowe's for local pickup. Design the Subscribe &amp; Save adoption push carefully because the lifetime value of one signup dwarfs a single one-time purchase commission.</w:t>
      </w:r>
    </w:p>
    <w:p>
      <w:pPr>
        <w:pStyle w:val="Heading2"/>
      </w:pPr>
      <w:r>
        <w:t xml:space="preserve">7.4 B2B2C white-label</w:t>
      </w:r>
    </w:p>
    <w:p>
      <w:pPr>
        <w:spacing w:after="120"/>
      </w:pPr>
      <w:r>
        <w:t xml:space="preserve">Most of the meaningful revenue probably lives here. Channels include white-label deployments to insurers, realtors using the product as a closing gift, home builders for new construction warranty windows, and local trades businesses (which fits Todd's existing ToddTech positioning).</w:t>
      </w:r>
    </w:p>
    <w:p>
      <w:pPr>
        <w:spacing w:after="120"/>
      </w:pPr>
      <w:r>
        <w:t xml:space="preserve">Realistic B2B2C economics: $5-25 per policyholder per year for an insurance white-label deployment, depending on integration depth. A mid-size carrier with 1 million policyholders at $10/seat is $10M/year of recurring revenue; a large carrier at scale is $50-100M. These deals take 18-36 months to develop because carrier procurement moves slowly and a degree of product maturity is required before serious engagement.</w:t>
      </w:r>
    </w:p>
    <w:p>
      <w:pPr>
        <w:pStyle w:val="Heading2"/>
      </w:pPr>
      <w:r>
        <w:t xml:space="preserve">7.5 The insurance path in detail</w:t>
      </w:r>
    </w:p>
    <w:p>
      <w:pPr>
        <w:spacing w:after="120"/>
      </w:pPr>
      <w:r>
        <w:t xml:space="preserve">Home insurance is the single most strategically significant external revenue channel for this product, and it shapes design decisions from early on. This section explains why, identifies the four distinct paths to insurance money, and names the design implications.</w:t>
      </w:r>
    </w:p>
    <w:p>
      <w:pPr>
        <w:pStyle w:val="Heading3"/>
      </w:pPr>
      <w:r>
        <w:t xml:space="preserve">7.5.1 Why carriers care</w:t>
      </w:r>
    </w:p>
    <w:p>
      <w:pPr>
        <w:spacing w:after="120"/>
      </w:pPr>
      <w:r>
        <w:t xml:space="preserve">Home insurance is a structurally difficult business and getting harder. Water damage is the #1 cost category by frequency (25-30% of claim dollars industry-wide). Weather-related and catastrophic losses are eroding margins across the industry. Wildfire, hurricane, and flood exposure has made underwriting harder, and the traditional model — price the policy, hope claims don't come — is breaking down.</w:t>
      </w:r>
    </w:p>
    <w:p>
      <w:pPr>
        <w:spacing w:after="120"/>
      </w:pPr>
      <w:r>
        <w:t xml:space="preserve">What carriers want, expressed at the product level:</w:t>
      </w:r>
    </w:p>
    <w:p>
      <w:pPr>
        <w:pStyle w:val="ListParagraph"/>
        <w:numPr>
          <w:ilvl w:val="0"/>
          <w:numId w:val="2"/>
        </w:numPr>
        <w:spacing w:after="80"/>
      </w:pPr>
      <w:r>
        <w:t xml:space="preserve">Better risk selection at underwriting — knowing more about the property before they write the policy</w:t>
      </w:r>
    </w:p>
    <w:p>
      <w:pPr>
        <w:pStyle w:val="ListParagraph"/>
        <w:numPr>
          <w:ilvl w:val="0"/>
          <w:numId w:val="2"/>
        </w:numPr>
        <w:spacing w:after="80"/>
      </w:pPr>
      <w:r>
        <w:t xml:space="preserve">Fewer claims — preventive intervention before failures become claims (a $200 water heater replacement is cheaper than a $40,000 water damage remediation)</w:t>
      </w:r>
    </w:p>
    <w:p>
      <w:pPr>
        <w:pStyle w:val="ListParagraph"/>
        <w:numPr>
          <w:ilvl w:val="0"/>
          <w:numId w:val="2"/>
        </w:numPr>
        <w:spacing w:after="80"/>
      </w:pPr>
      <w:r>
        <w:t xml:space="preserve">Faster, cheaper claim resolution when claims do happen — documentation accelerates settlement by 30-50%</w:t>
      </w:r>
    </w:p>
    <w:p>
      <w:pPr>
        <w:pStyle w:val="ListParagraph"/>
        <w:numPr>
          <w:ilvl w:val="0"/>
          <w:numId w:val="2"/>
        </w:numPr>
        <w:spacing w:after="80"/>
      </w:pPr>
      <w:r>
        <w:t xml:space="preserve">Better customer engagement — carriers desperately want post-purchase engagement that isn't claim-related, because customers who hear from their insurer only during disasters churn</w:t>
      </w:r>
    </w:p>
    <w:p>
      <w:pPr>
        <w:pStyle w:val="ListParagraph"/>
        <w:numPr>
          <w:ilvl w:val="0"/>
          <w:numId w:val="2"/>
        </w:numPr>
        <w:spacing w:after="80"/>
      </w:pPr>
      <w:r>
        <w:t xml:space="preserve">Differentiated products — newer carriers compete on technology; older carriers are scrambling to match</w:t>
      </w:r>
    </w:p>
    <w:p>
      <w:r>
        <w:t xml:space="preserve"/>
      </w:r>
    </w:p>
    <w:p>
      <w:pPr>
        <w:spacing w:after="120"/>
      </w:pPr>
      <w:r>
        <w:t xml:space="preserve">Hearth's core value props line up with every one of these. The structural alignment is the reason insurance is a credible business path, not a wishful one.</w:t>
      </w:r>
    </w:p>
    <w:p>
      <w:pPr>
        <w:pStyle w:val="Heading3"/>
      </w:pPr>
      <w:r>
        <w:t xml:space="preserve">7.5.2 Four paths to insurance money</w:t>
      </w:r>
    </w:p>
    <w:p>
      <w:pPr>
        <w:spacing w:after="120"/>
      </w:pPr>
      <w:r>
        <w:rPr>
          <w:b/>
          <w:bCs/>
        </w:rPr>
        <w:t xml:space="preserve">Path 1: Affiliate and lead-generation deals. </w:t>
      </w:r>
      <w:r>
        <w:t xml:space="preserve">The simplest, smallest, and earliest. Refer users to carriers for new policies or switching, get paid per qualified lead converted. Lemonade, Hippo, Kin, and the digital arms of traditional carriers all have affiliate programs. Economics: $50-200 per qualified lead. At 10,000 users with low single-digit percent conversion, $2,500-20,000/year. Achievable in months. This is the floor.</w:t>
      </w:r>
    </w:p>
    <w:p>
      <w:pPr>
        <w:spacing w:after="120"/>
      </w:pPr>
      <w:r>
        <w:rPr>
          <w:b/>
          <w:bCs/>
        </w:rPr>
        <w:t xml:space="preserve">Path 2: B2B2C white-label deployment. </w:t>
      </w:r>
      <w:r>
        <w:t xml:space="preserve">A carrier pays a per-policyholder fee to deploy a branded version of Hearth to their customers. The carrier gets engagement and risk-data benefits; the product gets recurring per-seat revenue. Economics: $5-25 per policyholder per year. A million-policyholder carrier at $10/seat is $10M/year recurring. This is the path where revenue gets genuinely interesting. Timeline: 18-36 months.</w:t>
      </w:r>
    </w:p>
    <w:p>
      <w:pPr>
        <w:spacing w:after="120"/>
      </w:pPr>
      <w:r>
        <w:rPr>
          <w:b/>
          <w:bCs/>
        </w:rPr>
        <w:t xml:space="preserve">Path 3: Data partnership / risk-scoring. </w:t>
      </w:r>
      <w:r>
        <w:t xml:space="preserve">Carriers pay for access to aggregated, anonymized risk data — properties documented in Hearth with system inventories, ages, and maintenance currency, structured for underwriting consumption. Precedents include Verisk, CoreLogic, and HazardHub, which sell property risk data to carriers and generate hundreds of millions in revenue from this exact pattern. Economics highly variable: flat fees ($1-10M/year for a major carrier), per-record fees ($0.50-5 per property queried), or profit-share on policies underwritten using the data. Requires meaningful scale and a data product carriers trust. Year 3-5 conversation.</w:t>
      </w:r>
    </w:p>
    <w:p>
      <w:pPr>
        <w:spacing w:after="120"/>
      </w:pPr>
      <w:r>
        <w:rPr>
          <w:b/>
          <w:bCs/>
        </w:rPr>
        <w:t xml:space="preserve">Path 4: Acquisition. </w:t>
      </w:r>
      <w:r>
        <w:t xml:space="preserve">A carrier or insurtech acquires the company. Insurtech acquisitions in adjacent spaces have ranged from $5-10M talent acquisitions to $100M-1B+ strategic platform acquisitions. Insurtech valuations cratered in 2022-2023 but appetite for category-defining acquisitions remains.</w:t>
      </w:r>
    </w:p>
    <w:p>
      <w:pPr>
        <w:pStyle w:val="Heading3"/>
      </w:pPr>
      <w:r>
        <w:t xml:space="preserve">7.5.3 Likely buyer landscape</w:t>
      </w:r>
    </w:p>
    <w:p>
      <w:pPr>
        <w:spacing w:after="120"/>
      </w:pPr>
      <w:r>
        <w:t xml:space="preserve">The newer technology-first carriers are more likely active acquirers because they're organized around tech differentiation, but have less cash than the giants. Hippo, Kin, and Lemonade might pay $20-100M for a company that fits their thesis. Hippo specifically built their brand around "the smart home insurer" and has bought adjacent companies — they are the most natural strategic fit.</w:t>
      </w:r>
    </w:p>
    <w:p>
      <w:pPr>
        <w:spacing w:after="120"/>
      </w:pPr>
      <w:r>
        <w:t xml:space="preserve">The traditional giants (State Farm, Allstate, Liberty Mutual, USAA, Travelers, Farmers, Nationwide, Progressive) have more cash but are less likely to acquire — they tend to build internally (slowly, expensively) or partner via white-label. When they do acquire, they pay $100M-1B+ but they're picky about fit. State Farm is the largest U.S. home insurer with massive innovation budgets but moves slowly — more likely a customer or partner than an acquirer.</w:t>
      </w:r>
    </w:p>
    <w:p>
      <w:pPr>
        <w:spacing w:after="120"/>
      </w:pPr>
      <w:r>
        <w:t xml:space="preserve">Wildcard buyers include home services marketplaces (Angi, Thumbtack) and the home-buying ecosystem (Zillow, Redfin, Opendoor). Zillow in particular has expressed interest in post-purchase engagement and has weak product offerings there. Plausible buyer in the $50-500M range when their priorities align.</w:t>
      </w:r>
    </w:p>
    <w:p>
      <w:pPr>
        <w:pStyle w:val="Heading3"/>
      </w:pPr>
      <w:r>
        <w:t xml:space="preserve">7.5.4 Michigan as a credible local insurance market</w:t>
      </w:r>
    </w:p>
    <w:p>
      <w:pPr>
        <w:spacing w:after="120"/>
      </w:pPr>
      <w:r>
        <w:t xml:space="preserve">Michigan has a substantial insurance industry presence. Auto-Owners Insurance is headquartered in Lansing. Citizens Insurance (Hanover) has Michigan roots. Frankenmuth Insurance is Michigan-based. State Farm has its largest claims handling operation in Michigan. Allstate has significant Michigan presence. Several risk analytics companies have Midwest offices. The implication: a first B2B2C deal with a mid-size Michigan carrier (Auto-Owners, Citizens) is a more realistic year-2 goal than a national-giant deal, and it's locally accessible.</w:t>
      </w:r>
    </w:p>
    <w:p>
      <w:pPr>
        <w:pStyle w:val="Heading3"/>
      </w:pPr>
      <w:r>
        <w:t xml:space="preserve">7.5.5 Design implications</w:t>
      </w:r>
    </w:p>
    <w:p>
      <w:pPr>
        <w:spacing w:after="120"/>
      </w:pPr>
      <w:r>
        <w:t xml:space="preserve">Taking the insurance path seriously shapes design decisions from early on. Several requirements fall out of it:</w:t>
      </w:r>
    </w:p>
    <w:p>
      <w:pPr>
        <w:pStyle w:val="ListParagraph"/>
        <w:numPr>
          <w:ilvl w:val="0"/>
          <w:numId w:val="2"/>
        </w:numPr>
        <w:spacing w:after="80"/>
      </w:pPr>
      <w:r>
        <w:t xml:space="preserve">Data model designed for anonymization and aggregation from day one — clean separation between PII and structured property data, well-defined consent flows, clear data ownership and rights</w:t>
      </w:r>
    </w:p>
    <w:p>
      <w:pPr>
        <w:pStyle w:val="ListParagraph"/>
        <w:numPr>
          <w:ilvl w:val="0"/>
          <w:numId w:val="2"/>
        </w:numPr>
        <w:spacing w:after="80"/>
      </w:pPr>
      <w:r>
        <w:t xml:space="preserve">Privacy and consent architecture that supports later B2B2C deployment — carriers need to know they can deploy the product without creating new privacy liability</w:t>
      </w:r>
    </w:p>
    <w:p>
      <w:pPr>
        <w:pStyle w:val="ListParagraph"/>
        <w:numPr>
          <w:ilvl w:val="0"/>
          <w:numId w:val="2"/>
        </w:numPr>
        <w:spacing w:after="80"/>
      </w:pPr>
      <w:r>
        <w:t xml:space="preserve">Outcomes measurement — the product needs to be able to demonstrate behavior change (maintenance completed, claims avoided, equipment replaced before failure) with real data, not anecdotes. This requires logging and analytics architecture in v1, not v3</w:t>
      </w:r>
    </w:p>
    <w:p>
      <w:pPr>
        <w:pStyle w:val="ListParagraph"/>
        <w:numPr>
          <w:ilvl w:val="0"/>
          <w:numId w:val="2"/>
        </w:numPr>
        <w:spacing w:after="80"/>
      </w:pPr>
      <w:r>
        <w:t xml:space="preserve">Branded white-label readiness — the architecture should anticipate that the product may eventually be re-skinned for a carrier deployment, even if v1 is single-brand only</w:t>
      </w:r>
    </w:p>
    <w:p>
      <w:pPr>
        <w:pStyle w:val="ListParagraph"/>
        <w:numPr>
          <w:ilvl w:val="0"/>
          <w:numId w:val="2"/>
        </w:numPr>
        <w:spacing w:after="80"/>
      </w:pPr>
      <w:r>
        <w:t xml:space="preserve">Conservative data claims — never overclaim predictiveness; carriers have actuarial departments that will see through hand-waving, and credibility lost is hard to recover</w:t>
      </w:r>
    </w:p>
    <w:p>
      <w:pPr>
        <w:pStyle w:val="Heading3"/>
      </w:pPr>
      <w:r>
        <w:t xml:space="preserve">7.5.6 What changes the probability of insurance interest</w:t>
      </w:r>
    </w:p>
    <w:p>
      <w:pPr>
        <w:spacing w:after="120"/>
      </w:pPr>
      <w:r>
        <w:t xml:space="preserve">If the insurance path is going to be more than wishful thinking, specific work over the next 1-2 years materially changes the probability of meaningful outcomes:</w:t>
      </w:r>
    </w:p>
    <w:p>
      <w:pPr>
        <w:pStyle w:val="ListParagraph"/>
        <w:numPr>
          <w:ilvl w:val="0"/>
          <w:numId w:val="2"/>
        </w:numPr>
        <w:spacing w:after="80"/>
      </w:pPr>
      <w:r>
        <w:t xml:space="preserve">Build the product to a state where carriers can take it seriously — real retention data, real maintenance completion data, real outcomes you can show in a deck. Carriers don't buy roadmaps, they buy proof</w:t>
      </w:r>
    </w:p>
    <w:p>
      <w:pPr>
        <w:pStyle w:val="ListParagraph"/>
        <w:numPr>
          <w:ilvl w:val="0"/>
          <w:numId w:val="2"/>
        </w:numPr>
        <w:spacing w:after="80"/>
      </w:pPr>
      <w:r>
        <w:t xml:space="preserve">Develop the data story explicitly — what can Hearth tell a carrier that they don't already know? Equipment ages, maintenance currency, contractor relationships, alert response behavior</w:t>
      </w:r>
    </w:p>
    <w:p>
      <w:pPr>
        <w:pStyle w:val="ListParagraph"/>
        <w:numPr>
          <w:ilvl w:val="0"/>
          <w:numId w:val="2"/>
        </w:numPr>
        <w:spacing w:after="80"/>
      </w:pPr>
      <w:r>
        <w:t xml:space="preserve">Get one carrier to the table early as a design partner, even informally — a carrier giving product feedback is worth more than a carrier discovering you later. This requires warm introductions</w:t>
      </w:r>
    </w:p>
    <w:p>
      <w:pPr>
        <w:pStyle w:val="ListParagraph"/>
        <w:numPr>
          <w:ilvl w:val="0"/>
          <w:numId w:val="2"/>
        </w:numPr>
        <w:spacing w:after="80"/>
      </w:pPr>
      <w:r>
        <w:t xml:space="preserve">Develop a compelling B2B2C deck before it's needed — year 1-2 work, not year 3</w:t>
      </w:r>
    </w:p>
    <w:p>
      <w:pPr>
        <w:pStyle w:val="ListParagraph"/>
        <w:numPr>
          <w:ilvl w:val="0"/>
          <w:numId w:val="2"/>
        </w:numPr>
        <w:spacing w:after="80"/>
      </w:pPr>
      <w:r>
        <w:t xml:space="preserve">Don't oversell on data — better to be conservative and let real numbers prove the value</w:t>
      </w:r>
    </w:p>
    <w:p>
      <w:pPr>
        <w:pStyle w:val="Heading2"/>
      </w:pPr>
      <w:r>
        <w:t xml:space="preserve">7.6 Realistic outcome scenarios</w:t>
      </w:r>
    </w:p>
    <w:p>
      <w:pPr>
        <w:spacing w:after="120"/>
      </w:pPr>
      <w:r>
        <w:t xml:space="preserve">Across the full set of monetization paths, the realistic outcome landscape looks something like this. The acquisition outcome is one of several good paths, not the only path.</w:t>
      </w:r>
    </w:p>
    <w:p>
      <w:pPr>
        <w:spacing w:after="120"/>
      </w:pPr>
      <w:r>
        <w:rPr>
          <w:b/>
          <w:bCs/>
        </w:rPr>
        <w:t xml:space="preserve">Reasonable downside. </w:t>
      </w:r>
      <w:r>
        <w:t xml:space="preserve">A few thousand consumer users, $50-300K/year of mixed revenue (subscriptions + affiliate + small B2B2C), sustainable indie-software income without a day job. Full creative control of the work, a real business owned outright.</w:t>
      </w:r>
    </w:p>
    <w:p>
      <w:pPr>
        <w:spacing w:after="120"/>
      </w:pPr>
      <w:r>
        <w:rPr>
          <w:b/>
          <w:bCs/>
        </w:rPr>
        <w:t xml:space="preserve">Median good. </w:t>
      </w:r>
      <w:r>
        <w:t xml:space="preserve">A carrier or marketplace partnership scales to $1-5M/year recurring over 3-4 years. A real company with a few employees, worth $10-50M on revenue multiples. Sell or keep operating.</w:t>
      </w:r>
    </w:p>
    <w:p>
      <w:pPr>
        <w:spacing w:after="120"/>
      </w:pPr>
      <w:r>
        <w:rPr>
          <w:b/>
          <w:bCs/>
        </w:rPr>
        <w:t xml:space="preserve">Strong. </w:t>
      </w:r>
      <w:r>
        <w:t xml:space="preserve">A carrier white-label deal scales to $10-30M+/year, the consumer business grows in parallel. Acquisition interest at $50-200M+ becomes credible.</w:t>
      </w:r>
    </w:p>
    <w:p>
      <w:pPr>
        <w:spacing w:after="120"/>
      </w:pPr>
      <w:r>
        <w:rPr>
          <w:b/>
          <w:bCs/>
        </w:rPr>
        <w:t xml:space="preserve">Lottery. </w:t>
      </w:r>
      <w:r>
        <w:t xml:space="preserve">Category-defining outcome — a major carrier acquires at $200M-1B+ for strategic premium, or an IPO-track trajectory. Possible but not the base case to plan around.</w:t>
      </w:r>
    </w:p>
    <w:p>
      <w:r>
        <w:t xml:space="preserve"/>
      </w:r>
    </w:p>
    <w:p>
      <w:pPr>
        <w:spacing w:after="120"/>
      </w:pPr>
      <w:r>
        <w:t xml:space="preserve">The work to make any of these real is largely the same work — build a genuinely good product, accumulate real users producing real outcomes, develop partnership readiness intentionally. The alignment between "do the right product work" and "create optionality for good outcomes" is rare and worth taking seriously.</w:t>
      </w:r>
    </w:p>
    <w:p>
      <w:pPr>
        <w:pStyle w:val="Heading1"/>
      </w:pPr>
      <w:r>
        <w:t xml:space="preserve">8. Naming</w:t>
      </w:r>
    </w:p>
    <w:p>
      <w:pPr>
        <w:spacing w:after="120"/>
      </w:pPr>
      <w:r>
        <w:t xml:space="preserve">The current frontrunner is Hearth. Alternatives considered include Provenance (more substantial, signals the documented-history angle, useful for B2B2C credibility), Stewart (the assistant framing), and HouseBinder (descriptive but lower brand ceiling). The naming choice interacts with positioning: Hearth commits to a warm, relationship-driven brand; Provenance commits to a serious, documented-history brand. These pull product decisions in different directions over time, so the choice has consequences beyond the brand mark.</w:t>
      </w:r>
    </w:p>
    <w:p>
      <w:pPr>
        <w:spacing w:after="120"/>
      </w:pPr>
      <w:r>
        <w:t xml:space="preserve">The naming decision is open. This document uses Hearth throughout for convenience.</w:t>
      </w:r>
    </w:p>
    <w:p>
      <w:pPr>
        <w:pStyle w:val="Heading1"/>
      </w:pPr>
      <w:r>
        <w:t xml:space="preserve">9. Open questions and deferred work</w:t>
      </w:r>
    </w:p>
    <w:p>
      <w:pPr>
        <w:spacing w:after="120"/>
      </w:pPr>
      <w:r>
        <w:t xml:space="preserve">The following are explicitly deferred. Each represents real design work that has been identified but not yet done.</w:t>
      </w:r>
    </w:p>
    <w:p>
      <w:pPr>
        <w:pStyle w:val="ListParagraph"/>
        <w:numPr>
          <w:ilvl w:val="0"/>
          <w:numId w:val="2"/>
        </w:numPr>
        <w:spacing w:after="80"/>
      </w:pPr>
      <w:r>
        <w:t xml:space="preserve">Supabase schema design — the structured data model for inventory, documents, contractors, maintenance schedules, service history</w:t>
      </w:r>
    </w:p>
    <w:p>
      <w:pPr>
        <w:pStyle w:val="ListParagraph"/>
        <w:numPr>
          <w:ilvl w:val="0"/>
          <w:numId w:val="2"/>
        </w:numPr>
        <w:spacing w:after="80"/>
      </w:pPr>
      <w:r>
        <w:t xml:space="preserve">Competitive teardown of HomeZada, Centriq, and adjacent products to identify specific gaps and positioning</w:t>
      </w:r>
    </w:p>
    <w:p>
      <w:pPr>
        <w:pStyle w:val="ListParagraph"/>
        <w:numPr>
          <w:ilvl w:val="0"/>
          <w:numId w:val="2"/>
        </w:numPr>
        <w:spacing w:after="80"/>
      </w:pPr>
      <w:r>
        <w:t xml:space="preserve">MVP scope definition — the smallest version of the product that is actually useful for Todd's own house as the test case</w:t>
      </w:r>
    </w:p>
    <w:p>
      <w:pPr>
        <w:pStyle w:val="ListParagraph"/>
        <w:numPr>
          <w:ilvl w:val="0"/>
          <w:numId w:val="2"/>
        </w:numPr>
        <w:spacing w:after="80"/>
      </w:pPr>
      <w:r>
        <w:t xml:space="preserve">Day One Briefing data integration depth — which providers, which counties, what the bootstrap experience looks like at varying levels of data availability</w:t>
      </w:r>
    </w:p>
    <w:p>
      <w:pPr>
        <w:pStyle w:val="ListParagraph"/>
        <w:numPr>
          <w:ilvl w:val="0"/>
          <w:numId w:val="2"/>
        </w:numPr>
        <w:spacing w:after="80"/>
      </w:pPr>
      <w:r>
        <w:t xml:space="preserve">Technical implementation of county-level operational knowledge for records navigation</w:t>
      </w:r>
    </w:p>
    <w:p>
      <w:pPr>
        <w:pStyle w:val="ListParagraph"/>
        <w:numPr>
          <w:ilvl w:val="0"/>
          <w:numId w:val="2"/>
        </w:numPr>
        <w:spacing w:after="80"/>
      </w:pPr>
      <w:r>
        <w:t xml:space="preserve">Scoring algorithm — what is worth how many points, how do sub-scores combine, what is the calibration target</w:t>
      </w:r>
    </w:p>
    <w:p>
      <w:pPr>
        <w:pStyle w:val="ListParagraph"/>
        <w:numPr>
          <w:ilvl w:val="0"/>
          <w:numId w:val="2"/>
        </w:numPr>
        <w:spacing w:after="80"/>
      </w:pPr>
      <w:r>
        <w:t xml:space="preserve">Next-best-action engine — how the product decides what to suggest</w:t>
      </w:r>
    </w:p>
    <w:p>
      <w:pPr>
        <w:pStyle w:val="ListParagraph"/>
        <w:numPr>
          <w:ilvl w:val="0"/>
          <w:numId w:val="2"/>
        </w:numPr>
        <w:spacing w:after="80"/>
      </w:pPr>
      <w:r>
        <w:t xml:space="preserve">Maintenance calendar UI and its interaction with the score</w:t>
      </w:r>
    </w:p>
    <w:p>
      <w:pPr>
        <w:pStyle w:val="ListParagraph"/>
        <w:numPr>
          <w:ilvl w:val="0"/>
          <w:numId w:val="2"/>
        </w:numPr>
        <w:spacing w:after="80"/>
      </w:pPr>
      <w:r>
        <w:t xml:space="preserve">Email forwarding architecture — verification, security, multiple addresses per user, originating-sender extraction</w:t>
      </w:r>
    </w:p>
    <w:p>
      <w:pPr>
        <w:pStyle w:val="ListParagraph"/>
        <w:numPr>
          <w:ilvl w:val="0"/>
          <w:numId w:val="2"/>
        </w:numPr>
        <w:spacing w:after="80"/>
      </w:pPr>
      <w:r>
        <w:t xml:space="preserve">Conflict resolution UX — when new data contradicts existing data</w:t>
      </w:r>
    </w:p>
    <w:p>
      <w:pPr>
        <w:pStyle w:val="ListParagraph"/>
        <w:numPr>
          <w:ilvl w:val="0"/>
          <w:numId w:val="2"/>
        </w:numPr>
        <w:spacing w:after="80"/>
      </w:pPr>
      <w:r>
        <w:t xml:space="preserve">Confidence model and feedback loop — how extraction improves from user corrections</w:t>
      </w:r>
    </w:p>
    <w:p>
      <w:pPr>
        <w:pStyle w:val="ListParagraph"/>
        <w:numPr>
          <w:ilvl w:val="0"/>
          <w:numId w:val="2"/>
        </w:numPr>
        <w:spacing w:after="80"/>
      </w:pPr>
      <w:r>
        <w:t xml:space="preserve">Final naming decision</w:t>
      </w:r>
    </w:p>
    <w:p>
      <w:pPr>
        <w:pStyle w:val="Heading1"/>
      </w:pPr>
      <w:r>
        <w:t xml:space="preserve">10. Validation: the Norton Drive test session</w:t>
      </w:r>
    </w:p>
    <w:p>
      <w:pPr>
        <w:spacing w:after="120"/>
      </w:pPr>
      <w:r>
        <w:t xml:space="preserve">On May 12, 2026, the product's core photo-based identification and analysis capabilities were tested end-to-end on Todd's own house (604 Norton Drive, Kalamazoo). The session used only photos taken with a phone in basement lighting and the analysis capabilities of a current-generation LLM. No actual product code was involved; the test simulated what the product would do.</w:t>
      </w:r>
    </w:p>
    <w:p>
      <w:pPr>
        <w:spacing w:after="120"/>
      </w:pPr>
      <w:r>
        <w:t xml:space="preserve">Across approximately thirty minutes of photo capture and analysis, the session produced:</w:t>
      </w:r>
    </w:p>
    <w:p>
      <w:pPr>
        <w:pStyle w:val="ListParagraph"/>
        <w:numPr>
          <w:ilvl w:val="0"/>
          <w:numId w:val="2"/>
        </w:numPr>
        <w:spacing w:after="80"/>
      </w:pPr>
      <w:r>
        <w:t xml:space="preserve">Identification of the water meter, pressure regulator, and main shutoff configuration — including correcting the user's initial misidentification of which valve was the true main</w:t>
      </w:r>
    </w:p>
    <w:p>
      <w:pPr>
        <w:pStyle w:val="ListParagraph"/>
        <w:numPr>
          <w:ilvl w:val="0"/>
          <w:numId w:val="2"/>
        </w:numPr>
        <w:spacing w:after="80"/>
      </w:pPr>
      <w:r>
        <w:t xml:space="preserve">Identification of the water softener as a 30,000-grain Autotrol/Logix unit with a Peerless Inc. (Kalamazoo) dealer relationship, manufactured October 24, 2005 — twenty years old, past expected resin life</w:t>
      </w:r>
    </w:p>
    <w:p>
      <w:pPr>
        <w:pStyle w:val="ListParagraph"/>
        <w:numPr>
          <w:ilvl w:val="0"/>
          <w:numId w:val="2"/>
        </w:numPr>
        <w:spacing w:after="80"/>
      </w:pPr>
      <w:r>
        <w:t xml:space="preserve">Discovery of an active "Low Battery" indicator on the softener control head, found in the original wide photo</w:t>
      </w:r>
    </w:p>
    <w:p>
      <w:pPr>
        <w:pStyle w:val="ListParagraph"/>
        <w:numPr>
          <w:ilvl w:val="0"/>
          <w:numId w:val="2"/>
        </w:numPr>
        <w:spacing w:after="80"/>
      </w:pPr>
      <w:r>
        <w:t xml:space="preserve">Discovery of stuck bypass valves on the softener, identified through user attempt — themselves a significant finding, since they mean the system cannot be serviced without shutting off water to the whole house</w:t>
      </w:r>
    </w:p>
    <w:p>
      <w:pPr>
        <w:pStyle w:val="ListParagraph"/>
        <w:numPr>
          <w:ilvl w:val="0"/>
          <w:numId w:val="2"/>
        </w:numPr>
        <w:spacing w:after="80"/>
      </w:pPr>
      <w:r>
        <w:t xml:space="preserve">Identification of the water heater as a Rheem Professional Classic PROG40S-40N RH59, 40-gallon natural gas, manufactured January 29, 2015 — eleven years old, at the upper end of expected service life</w:t>
      </w:r>
    </w:p>
    <w:p>
      <w:pPr>
        <w:pStyle w:val="ListParagraph"/>
        <w:numPr>
          <w:ilvl w:val="0"/>
          <w:numId w:val="2"/>
        </w:numPr>
        <w:spacing w:after="80"/>
      </w:pPr>
      <w:r>
        <w:t xml:space="preserve">Identification of the electrical panel as a Square D Homeline with a 100A main breaker, paired with a Consumers Energy 200A-rated smart meter — surfacing a service-capacity planning question for any future high-load addition</w:t>
      </w:r>
    </w:p>
    <w:p>
      <w:pPr>
        <w:pStyle w:val="ListParagraph"/>
        <w:numPr>
          <w:ilvl w:val="0"/>
          <w:numId w:val="2"/>
        </w:numPr>
        <w:spacing w:after="80"/>
      </w:pPr>
      <w:r>
        <w:t xml:space="preserve">Cross-system insight: the aging softener may have been delivering hard water to the water heater, accelerating wear on a unit already past typical service life</w:t>
      </w:r>
    </w:p>
    <w:p>
      <w:pPr>
        <w:pStyle w:val="ListParagraph"/>
        <w:numPr>
          <w:ilvl w:val="0"/>
          <w:numId w:val="2"/>
        </w:numPr>
        <w:spacing w:after="80"/>
      </w:pPr>
      <w:r>
        <w:t xml:space="preserve">Generation of a prioritized action list across all systems, including a $20 meter-key purchase, a low-battery replacement, water hardness testing, a service call to Peerless, and a long-term replacement-planning conversation for the water heater</w:t>
      </w:r>
    </w:p>
    <w:p>
      <w:r>
        <w:t xml:space="preserve"/>
      </w:r>
    </w:p>
    <w:p>
      <w:pPr>
        <w:spacing w:after="120"/>
      </w:pPr>
      <w:r>
        <w:t xml:space="preserve">The session produced several quotes worth preserving as user-experience markers:</w:t>
      </w:r>
    </w:p>
    <w:p>
      <w:pPr>
        <w:pBdr>
          <w:left w:val="single" w:color="999999" w:sz="12" w:space="12"/>
        </w:pBdr>
        <w:spacing w:after="120" w:before="120"/>
        <w:ind w:left="720"/>
      </w:pPr>
      <w:r>
        <w:rPr>
          <w:i/>
          <w:iCs/>
        </w:rPr>
        <w:t xml:space="preserve">Holy crap, I've learned more about my house in the last 10 minutes here testing with you than the past 10 years.</w:t>
      </w:r>
    </w:p>
    <w:p>
      <w:pPr>
        <w:pBdr>
          <w:left w:val="single" w:color="999999" w:sz="12" w:space="12"/>
        </w:pBdr>
        <w:spacing w:after="120" w:before="120"/>
        <w:ind w:left="720"/>
      </w:pPr>
      <w:r>
        <w:rPr>
          <w:i/>
          <w:iCs/>
        </w:rPr>
        <w:t xml:space="preserve">Nobody ever told me this thing needed maintenance, i.e. inspection of the anode rods. Or flushing.</w:t>
      </w:r>
    </w:p>
    <w:p>
      <w:pPr>
        <w:pBdr>
          <w:left w:val="single" w:color="999999" w:sz="12" w:space="12"/>
        </w:pBdr>
        <w:spacing w:after="120" w:before="120"/>
        <w:ind w:left="720"/>
      </w:pPr>
      <w:r>
        <w:rPr>
          <w:i/>
          <w:iCs/>
        </w:rPr>
        <w:t xml:space="preserve">My garbage disposal crapped out last month and I did not know there were techniques to maintain it like that.</w:t>
      </w:r>
    </w:p>
    <w:p>
      <w:pPr>
        <w:spacing w:after="120"/>
      </w:pPr>
      <w:r>
        <w:t xml:space="preserve">These reactions — surfacing maintenance facts the homeowner did not know, identifying real operational issues from photos, generating actionable next steps — are the product's core value proposition demonstrated end-to-end. The test substantially validated the thesis.</w:t>
      </w:r>
    </w:p>
    <w:p>
      <w:pPr>
        <w:pStyle w:val="Heading1"/>
      </w:pPr>
      <w:r>
        <w:t xml:space="preserve">11. Where we are</w:t>
      </w:r>
    </w:p>
    <w:p>
      <w:pPr>
        <w:spacing w:after="120"/>
      </w:pPr>
      <w:r>
        <w:t xml:space="preserve">The product is in active design with strong validation of the core thesis from real-world testing. The application scaffolding is built. The ingestion architecture from Echoes provides a head start measured in weeks rather than months. The strongest single feature concept — the Day One Briefing — has been pressure-tested on a real address and shown to produce meaningful immediate value. The product's emotional hook — "I just learned more about my house in 10 minutes than 10 years" — has been validated by Todd as the ideal first user.</w:t>
      </w:r>
    </w:p>
    <w:p>
      <w:pPr>
        <w:spacing w:after="120"/>
      </w:pPr>
      <w:r>
        <w:t xml:space="preserve">The honest path forward is a tightly-scoped MVP focused on the Day One Briefing, ingestion, chat, and a handful of high-value categories (emergency reference, major systems, consumables tracking), shipped to twenty to fifty actual homeowners in the local network, with the full build only committed to with real engagement signal. As a portfolio piece this is the strongest product idea in the ToddTech portfolio: the problem is universal, instantly comprehensible to non-technical decision-makers, and the AI integration is load-bearing rather than decorative.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 Product Design Document</dc:title>
  <dc:creator>Todd / Hearth</dc:creator>
  <dc:description>Working design document for the Hearth homeowner application</dc:description>
  <cp:lastModifiedBy>Un-named</cp:lastModifiedBy>
  <cp:revision>1</cp:revision>
  <dcterms:created xsi:type="dcterms:W3CDTF">2026-05-12T21:20:58.875Z</dcterms:created>
  <dcterms:modified xsi:type="dcterms:W3CDTF">2026-05-12T21:20:58.896Z</dcterms:modified>
</cp:coreProperties>
</file>

<file path=docProps/custom.xml><?xml version="1.0" encoding="utf-8"?>
<Properties xmlns="http://schemas.openxmlformats.org/officeDocument/2006/custom-properties" xmlns:vt="http://schemas.openxmlformats.org/officeDocument/2006/docPropsVTypes"/>
</file>