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b/>
          <w:bCs/>
          <w:color w:val="1A3C5E"/>
          <w:sz w:val="30"/>
          <w:szCs w:val="30"/>
        </w:rPr>
        <w:t xml:space="preserve">Health Campaign Integration Opportunities — Uganda</w:t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Planning period 2026–2028  |  Prepared for the Campaign Integration Workshop, Kigali  |  June 2026</w:t>
      </w:r>
    </w:p>
    <w:p>
      <w:pPr>
        <w:pStyle w:val="Heading2"/>
        <w:spacing w:after="60"/>
      </w:pPr>
      <w:r>
        <w:rPr>
          <w:b/>
          <w:bCs/>
          <w:color w:val="1F6FB2"/>
        </w:rPr>
        <w:t xml:space="preserve">Abbreviations</w:t>
      </w:r>
    </w:p>
    <w:p>
      <w:pPr>
        <w:spacing w:after="80"/>
      </w:pPr>
      <w:r>
        <w:rPr>
          <w:i/>
          <w:iCs/>
          <w:color w:val="666666"/>
          <w:sz w:val="16"/>
          <w:szCs w:val="16"/>
        </w:rPr>
        <w:t xml:space="preserve">Campaign acronyms used in this report and the workbook, with key technical terms.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3660"/>
        <w:gridCol w:w="1020"/>
        <w:gridCol w:w="3660"/>
      </w:tblGrid>
      <w:tr>
        <w:trPr>
          <w:tblHeader/>
        </w:trP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Acronym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Acronym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MR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Measles–Rubella vaccine (SIA)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HPV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Human Papillomavirus vaccine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ITN/LLIN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Insecticide-Treated Net / Long-Lasting Insecticidal Net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IRS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Indoor Residual Spraying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SMC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Seasonal Malaria Chemoprevention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SCH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Schistosomiasis preventive chemotherapy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STH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Soil-Transmitted Helminthiases (deworming)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Oncho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Onchocerciasis (CDTI / mass drug administration)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Trachoma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Trachoma (mass drug administration)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VAS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Vitamin A Supplementation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CAST/ICHD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 Awareness Testing and Screening / Integrated Child Health Days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ALB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Albendazole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AZI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Azithromycin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CDD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Community-Directed Distribution / Distributor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CDTI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Community-Directed Treatment with Ivermectin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ESPEN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Expanded Special Project for Elimination of NTDs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Gavi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Gavi, the Vaccine Alliance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Ivermectin + Diethylcarbamazine + Albendazole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IVM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Ivermectin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MDA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Mass Drug Administration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NTD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Neglected Tropical Disease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PC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Preventive Chemotherapy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PZQ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Praziquantel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SIA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Supplementary Immunization Activity</w:t>
            </w:r>
          </w:p>
        </w:tc>
      </w:tr>
      <w:tr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TEO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Tetracycline Eye Ointment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WHO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World Health Organization</w:t>
            </w:r>
          </w:p>
        </w:tc>
      </w:tr>
    </w:tbl>
    <w:p>
      <w:pPr>
        <w:pStyle w:val="Heading2"/>
        <w:spacing w:before="160"/>
      </w:pPr>
      <w:r>
        <w:rPr>
          <w:b/>
          <w:bCs/>
          <w:color w:val="1F6FB2"/>
        </w:rPr>
        <w:t xml:space="preserve">Summary</w:t>
      </w:r>
    </w:p>
    <w:p>
      <w:pPr>
        <w:spacing w:after="120" w:line="264"/>
      </w:pPr>
      <w:r>
        <w:t xml:space="preserve">Uganda's updated submission concentrates campaigns in 2026 and reports at national/aggregate level. In this version schistosomiasis and onchocerciasis have been re-timed into the recurring March / April / September / October windows, so the school-age and child-health interventions now cluster even more tightly; lymphatic filariasis is listed but carries no implementation month.</w:t>
      </w:r>
    </w:p>
    <w:p>
      <w:pPr>
        <w:spacing w:after="120" w:line="264"/>
      </w:pPr>
      <w:r>
        <w:t xml:space="preserve">The calendar is therefore densely concentrated in four months — simultaneously a strong integration opportunity (a ready basis for integrated school and child-health days) and an operational-overload risk for the health workforce.</w:t>
      </w:r>
    </w:p>
    <w:p>
      <w:pPr>
        <w:pStyle w:val="Heading2"/>
      </w:pPr>
      <w:r>
        <w:rPr>
          <w:b/>
          <w:bCs/>
          <w:color w:val="1F6FB2"/>
        </w:rPr>
        <w:t xml:space="preserve">Integration opportunities (by time and place)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560"/>
        <w:gridCol w:w="2560"/>
        <w:gridCol w:w="1600"/>
        <w:gridCol w:w="2400"/>
      </w:tblGrid>
      <w:tr>
        <w:trPr>
          <w:tblHeader/>
        </w:trP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Interventions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 · Mar/Apr/Sep/Oct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National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HPV + STH + SCH + Vitamin 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Co-delivery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Integrated school health days: HPV vaccination + deworming + praziquantel + VAS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 · Mar/Apr/Sep/Oct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Selected districts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Onchocerciasis + Trachoma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Co-delivery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Co-administer through the CDD network (ivermectin / azithromycin) — and schedule LF to join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 · Apr/May/Sep/Oct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Selected districts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SMC + Schistosomiasis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Shared community mobilisation and microplanning in the same windows</w:t>
            </w:r>
          </w:p>
        </w:tc>
      </w:tr>
      <w:tr>
        <w:tc>
          <w:tcPr>
            <w:tcW w:type="dxa" w:w="1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 · Oct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National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Measles-Rubella + child-health round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Co-delivery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Fold the October MR campaign into the integrated child-health day</w:t>
            </w:r>
          </w:p>
        </w:tc>
      </w:tr>
    </w:tbl>
    <w:p>
      <w:pPr>
        <w:spacing w:after="120" w:before="60"/>
      </w:pPr>
      <w:r>
        <w:rPr>
          <w:i/>
          <w:iCs/>
          <w:color w:val="666666"/>
          <w:sz w:val="16"/>
          <w:szCs w:val="16"/>
        </w:rPr>
        <w:t xml:space="preserve">Integration ladder: Coordination (shared planning calendar) → Collaboration (shared microplanning, mobilisation, transport, supervision) → Co-delivery (same teams/sites, same window) → Co-administration (products given together to the same person).</w:t>
      </w:r>
    </w:p>
    <w:p>
      <w:pPr>
        <w:pStyle w:val="Heading2"/>
      </w:pPr>
      <w:r>
        <w:rPr>
          <w:b/>
          <w:bCs/>
          <w:color w:val="1F6FB2"/>
        </w:rPr>
        <w:t xml:space="preserve">Profile-based complementarity</w:t>
      </w:r>
    </w:p>
    <w:p>
      <w:pPr>
        <w:spacing w:after="120" w:line="264"/>
      </w:pPr>
      <w:r>
        <w:t xml:space="preserve">The school-age and child-health interventions — HPV, STH, schistosomiasis, Vitamin A and the CAST/ICHD platform — now share the same March, April, September and October windows at national level, making integrated school and child-health days the clear delivery vehicle (SCH + STH score 87; HPV + STH and MR + VAS 80). Onchocerciasis and trachoma have moved into the same windows in selected districts and can be co-administered through the community-directed distributor network.</w:t>
      </w:r>
    </w:p>
    <w:p>
      <w:pPr>
        <w:spacing w:after="120" w:line="264"/>
      </w:pPr>
      <w:r>
        <w:t xml:space="preserve">Lymphatic filariasis is listed without an implementation month, so it no longer co-locates with onchocerciasis; scheduling it into the CDD round would restore that co-delivery. Because coverage is reported nationally rather than by admin-1, the overlaps are calendar-level; district microplanning is needed to confirm true co-location and to phase what is now a very dense four-month period.</w:t>
      </w:r>
    </w:p>
    <w:p>
      <w:pPr>
        <w:pStyle w:val="Heading2"/>
        <w:pageBreakBefore/>
      </w:pPr>
      <w:r>
        <w:rPr>
          <w:b/>
          <w:bCs/>
          <w:color w:val="1F6FB2"/>
        </w:rPr>
        <w:t xml:space="preserve">Profile-based integration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FB2" w:sz="4"/>
              <w:left w:val="single" w:color="1F6FB2" w:sz="4"/>
              <w:bottom w:val="single" w:color="1F6FB2" w:sz="4"/>
              <w:right w:val="single" w:color="1F6FB2" w:sz="4"/>
            </w:tcBorders>
            <w:shd w:fill="EAF2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A3C5E"/>
              </w:rPr>
              <w:t xml:space="preserve">How the score is generated.  </w:t>
            </w:r>
            <w:r>
              <w:t xml:space="preserve">Every pair of campaigns is scored on two independent axes. </w:t>
            </w:r>
            <w:r>
              <w:rPr>
                <w:b/>
                <w:bCs/>
              </w:rPr>
              <w:t xml:space="preserve">Profile fit</w:t>
            </w:r>
            <w:r>
              <w:t xml:space="preserve"> (0–100) measures operational similarity from the Campaign Characterisation sheet — a weighted match on delivery platform (×2), target population (×2), mode of delivery (×1) and commodity/supply class (×1). </w:t>
            </w:r>
            <w:r>
              <w:rPr>
                <w:b/>
                <w:bCs/>
              </w:rPr>
              <w:t xml:space="preserve">Time–place alignment</w:t>
            </w:r>
            <w:r>
              <w:t xml:space="preserve"> (0–100) is read from the calendar: 100 = same admin-1 unit and same month in a year; 67 = same month, different place; 33 = same year only; 0 = no overlap. The </w:t>
            </w:r>
            <w:r>
              <w:rPr>
                <w:b/>
                <w:bCs/>
              </w:rPr>
              <w:t xml:space="preserve">combined integration score</w:t>
            </w:r>
            <w:r>
              <w:t xml:space="preserve"> = 0.6 × profile fit + 0.4 × time–place, banded into Tier A (≥70), B (50–69), C (30–49) and D (&lt;30).</w:t>
            </w:r>
          </w:p>
          <w:p>
            <w:pPr>
              <w:spacing w:after="0"/>
            </w:pPr>
            <w:r>
              <w:rPr>
                <w:b/>
                <w:bCs/>
                <w:color w:val="1A3C5E"/>
              </w:rPr>
              <w:t xml:space="preserve">How to read the figures.  </w:t>
            </w:r>
            <w:r>
              <w:rPr>
                <w:b/>
                <w:bCs/>
              </w:rPr>
              <w:t xml:space="preserve">Table 2 (final landscape page) </w:t>
            </w:r>
            <w:r>
              <w:t xml:space="preserve">lists each campaign's characteristics — a shared cell colour down a column means a shared attribute, so rows sharing colours are integration candidates. </w:t>
            </w:r>
            <w:r>
              <w:rPr>
                <w:b/>
                <w:bCs/>
              </w:rPr>
              <w:t xml:space="preserve">The heatmap (Figure 1) </w:t>
            </w:r>
            <w:r>
              <w:t xml:space="preserve">gives the integration score for every pair (greener = higher potential). </w:t>
            </w:r>
            <w:r>
              <w:rPr>
                <w:b/>
                <w:bCs/>
              </w:rPr>
              <w:t xml:space="preserve">The 2×2 matrix (Figure 2) </w:t>
            </w:r>
            <w:r>
              <w:t xml:space="preserve">places each pair by profile fit (x) and time–place alignment (y): top-right = co-deliver now; bottom-right = operationally compatible, reschedule to align; top-left = coordinate logistics only (cannot co-administer); bottom-left = lower priority.</w:t>
            </w:r>
          </w:p>
        </w:tc>
      </w:tr>
    </w:tbl>
    <w:p>
      <w:pPr>
        <w:spacing w:before="140"/>
      </w:pPr>
    </w:p>
    <w:p>
      <w:pPr>
        <w:spacing w:after="40" w:before="60"/>
        <w:jc w:val="center"/>
      </w:pPr>
      <w:r>
        <w:drawing>
          <wp:inline distT="0" distB="0" distL="0" distR="0">
            <wp:extent cx="4476750" cy="4010025"/>
            <wp:effectExtent t="0" r="0" b="0" l="0"/>
            <wp:docPr id="1" name="heat" descr="heat" title="he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6"/>
          <w:szCs w:val="16"/>
        </w:rPr>
        <w:t xml:space="preserve">Figure 1. Pairwise integration potential (combined score 0–100).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4629150"/>
            <wp:effectExtent t="0" r="0" b="0" l="0"/>
            <wp:docPr id="1" name="quad" descr="quad" title="qu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6"/>
          <w:szCs w:val="16"/>
        </w:rPr>
        <w:t xml:space="preserve">Figure 2. Integration potential 2×2 — each point is a campaign pair, triaged into an action quadrant.</w:t>
      </w:r>
    </w:p>
    <w:p>
      <w:pPr>
        <w:pStyle w:val="Heading2"/>
      </w:pPr>
      <w:r>
        <w:rPr>
          <w:b/>
          <w:bCs/>
          <w:color w:val="1F6FB2"/>
        </w:rPr>
        <w:t xml:space="preserve">Highest-scoring campaign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750"/>
        <w:gridCol w:w="3010"/>
        <w:gridCol w:w="25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Campaign pair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Shared characteristics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6F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Suggested action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 + STH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platform, target group, mode, supply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Co-deliver now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SMC + SCH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group, mode, supply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Co-deliver now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 + VAS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platform, target group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Co-deliver now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 + HPV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platform, mode, supply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Co-deliver now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ITN/LLIN + CAST/ICHD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platform, target group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Co-deliver now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HPV + STH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platform, target group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Co-deliver now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Oncho + Trachoma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platform, supply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Co-deliver now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SMC + VAS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group, mode, supply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Co-deliver now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SMC + STH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 group, mode, supply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Co-deliver now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 + SMC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platform, target group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Co-deliver now</w:t>
            </w:r>
          </w:p>
        </w:tc>
      </w:tr>
    </w:tbl>
    <w:p>
      <w:pPr>
        <w:pStyle w:val="Heading2"/>
        <w:spacing w:before="160"/>
      </w:pPr>
      <w:r>
        <w:rPr>
          <w:b/>
          <w:bCs/>
          <w:color w:val="1F6FB2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Build integrated school &amp; child-health days</w:t>
      </w:r>
      <w:r>
        <w:t xml:space="preserve"> — co-deliver HPV, deworming, praziquantel and Vitamin A across the March/April/September/October windows.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Co-administer the CDD NTDs</w:t>
      </w:r>
      <w:r>
        <w:t xml:space="preserve"> — deliver onchocerciasis and trachoma together, and schedule LF (currently without dates) into the same CDD round.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De-conflict the dense windows</w:t>
      </w:r>
      <w:r>
        <w:t xml:space="preserve"> — use district microplans to phase the four concentrated months and protect coverage and workforce capacity.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Improve geographic granularity</w:t>
      </w:r>
      <w:r>
        <w:t xml:space="preserve"> — capture admin-1 (region) in the calendar so the integration scan reflects true co-location.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100" w:right="1440" w:bottom="1100" w:left="1440" w:header="708" w:footer="708" w:gutter="0"/>
          <w:pgNumType/>
          <w:docGrid w:linePitch="360"/>
        </w:sectPr>
      </w:pPr>
    </w:p>
    <w:p>
      <w:pPr>
        <w:pStyle w:val="Heading2"/>
      </w:pPr>
      <w:r>
        <w:rPr>
          <w:b/>
          <w:bCs/>
          <w:color w:val="1F6FB2"/>
        </w:rPr>
        <w:t xml:space="preserve">Annex — Table 2. Campaign characteristics by attribute</w:t>
      </w: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Shared colour within a column = shared attribute = co-delivery enabler.  ‘+’ = campaign also uses other platforms / target groups.</w:t>
      </w:r>
    </w:p>
    <w:p>
      <w:pPr>
        <w:spacing w:after="40" w:before="60"/>
        <w:jc w:val="center"/>
      </w:pPr>
      <w:r>
        <w:drawing>
          <wp:inline distT="0" distB="0" distL="0" distR="0">
            <wp:extent cx="8953500" cy="5276850"/>
            <wp:effectExtent t="0" r="0" b="0" l="0"/>
            <wp:docPr id="1" name="chars" descr="chars" title="ch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5840" w:h="12240" w:orient="landscape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40"/>
    </w:pPr>
    <w:r>
      <w:rPr>
        <w:i/>
        <w:iCs/>
        <w:color w:val="666666"/>
        <w:sz w:val="14"/>
        <w:szCs w:val="14"/>
      </w:rPr>
      <w:t xml:space="preserve">Basis: Uganda Health Campaign Calendar 2026 (updated submission, revised by ESPEN); WHO NTD road map 2021–2030; WHO Health Campaign Effectiveness guidance. Confidence: moderate-to-low (national-level granularity limits geographic confirmation; LF listed without scheduled months; 2026 only).</w:t>
    </w:r>
  </w:p>
  <w:p>
    <w:pPr>
      <w:jc w:val="right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spacing w:before="40"/>
    </w:pPr>
    <w:r>
      <w:rPr>
        <w:i/>
        <w:iCs/>
        <w:color w:val="666666"/>
        <w:sz w:val="14"/>
        <w:szCs w:val="14"/>
      </w:rPr>
      <w:t xml:space="preserve">Basis: Uganda Health Campaign Calendar 2026 (updated submission, revised by ESPEN); WHO NTD road map 2021–2030; WHO Health Campaign Effectiveness guidance. Confidence: moderate-to-low (national-level granularity limits geographic confirmation; LF listed without scheduled months; 2026 only).</w:t>
    </w:r>
  </w:p>
  <w:p>
    <w:pPr>
      <w:jc w:val="right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2" w:sz="6" w:space="2"/>
      </w:pBdr>
      <w:spacing w:after="40"/>
    </w:pPr>
    <w:r>
      <w:rPr>
        <w:b/>
        <w:bCs/>
        <w:color w:val="666666"/>
        <w:sz w:val="16"/>
        <w:szCs w:val="16"/>
      </w:rPr>
      <w:t xml:space="preserve">World Health Organization  ·  Regional Office for Africa  ·  ESPEN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B2" w:sz="6" w:space="2"/>
      </w:pBdr>
      <w:spacing w:after="40"/>
    </w:pPr>
    <w:r>
      <w:rPr>
        <w:b/>
        <w:bCs/>
        <w:color w:val="666666"/>
        <w:sz w:val="16"/>
        <w:szCs w:val="16"/>
      </w:rPr>
      <w:t xml:space="preserve">World Health Organization  ·  Regional Office for Africa  ·  ESPEN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1F6FB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6FB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eb9a6e878feaff39bb403825b664fc32ccfa699.png"/><Relationship Id="rId12" Type="http://schemas.openxmlformats.org/officeDocument/2006/relationships/image" Target="media/a59aba301a1bb9892a47dd8dacbc909f6c04a320.png"/><Relationship Id="rId13" Type="http://schemas.openxmlformats.org/officeDocument/2006/relationships/image" Target="media/a3c282e9713beb67a8718769e0ea5e9ffb4abf8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2026-06-05T14:29:10.165Z</dcterms:created>
  <dcterms:modified xsi:type="dcterms:W3CDTF">2026-06-05T14:29:10.165Z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