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  <w:color w:val="1A3C5E"/>
          <w:sz w:val="30"/>
          <w:szCs w:val="30"/>
        </w:rPr>
        <w:t xml:space="preserve">Health Campaign Integration Opportunities — Sierra Leone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Planning period 2026–2028  |  Prepared for the Campaign Integration Workshop, Kigali  |  June 2026</w:t>
      </w:r>
    </w:p>
    <w:p>
      <w:pPr>
        <w:pStyle w:val="Heading2"/>
        <w:spacing w:after="60"/>
      </w:pPr>
      <w:r>
        <w:rPr>
          <w:b/>
          <w:bCs/>
          <w:color w:val="1F6FB2"/>
        </w:rPr>
        <w:t xml:space="preserve">Abbreviations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Campaign acronyms used in this report and the workbook, with key technical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3660"/>
        <w:gridCol w:w="1020"/>
        <w:gridCol w:w="3660"/>
      </w:tblGrid>
      <w:tr>
        <w:trPr>
          <w:tblHeader/>
        </w:trP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Measles–Rubella vaccine (SIA)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TCV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Typhoid Conjugate Vaccine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ITN/LLIN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Insecticide-Treated Net / Long-Lasting Insecticidal Net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Schistosomiasis preventive chemotherapy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Soil-Transmitted Helminthiases (deworming)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Oncho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Onchocerciasis (CDTI / mass drug administration)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Albendazole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AZI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Azithromycin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CDD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Community-Directed Distribution / Distributor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CDTI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Community-Directed Treatment with Ivermectin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ESPEN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Expanded Special Project for Elimination of NTDs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Gavi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Gavi, the Vaccine Alliance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Ivermectin + Diethylcarbamazine + Albendazole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IVM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Ivermectin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MDA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 Drug Administration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NTD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Neglected Tropical Disease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Preventive Chemotherapy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PZQ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Praziquantel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Supplementary Immunization Activity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Tetracycline Eye Ointment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WHO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 Health Organization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160"/>
      </w:pPr>
      <w:r>
        <w:rPr>
          <w:b/>
          <w:bCs/>
          <w:color w:val="1F6FB2"/>
        </w:rPr>
        <w:t xml:space="preserve">Summary</w:t>
      </w:r>
    </w:p>
    <w:p>
      <w:pPr>
        <w:spacing w:after="120" w:line="264"/>
      </w:pPr>
      <w:r>
        <w:t xml:space="preserve">Sierra Leone's submission covers malaria (ITN/LLIN), preventive chemotherapy for NTDs (schistosomiasis, soil-transmitted helminthiases, onchocerciasis) and immunization SIAs (measles-rubella, typhoid conjugate vaccine) over 2026–2028. The calendar is comparatively spaced, leaving clear scope to cluster interventions that share delivery platforms and target groups.</w:t>
      </w:r>
    </w:p>
    <w:p>
      <w:pPr>
        <w:spacing w:after="120" w:line="264"/>
      </w:pPr>
      <w:r>
        <w:t xml:space="preserve">The strongest co-delivery opportunity is the NTD preventive-chemotherapy package; immunization SIAs offer collaboration gains through shared microplanning.</w:t>
      </w:r>
    </w:p>
    <w:p>
      <w:pPr>
        <w:pStyle w:val="Heading2"/>
      </w:pPr>
      <w:r>
        <w:rPr>
          <w:b/>
          <w:bCs/>
          <w:color w:val="1F6FB2"/>
        </w:rPr>
        <w:t xml:space="preserve">Integration opportunities (by time and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560"/>
        <w:gridCol w:w="2560"/>
        <w:gridCol w:w="1600"/>
        <w:gridCol w:w="2400"/>
      </w:tblGrid>
      <w:tr>
        <w:trPr>
          <w:tblHeader/>
        </w:trP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Interventions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· Jul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Onchocerciasis + STH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Co-delivery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Co-administer ivermectin + albendazole through the CDD network; add LF where co-endemic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2027–28 · Apr / Sep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regions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Schistosomiasis (SCH) + STH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Co-delivery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Align to a single school-based round (praziquantel + albendazole) for school-age children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2027 · Mar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ITN/LLIN + Measles-Rubella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social mobilisation, transport and microplanning (delivery modes differ)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2027 · Mar &amp; Nov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Measles-Rubella + TCV (injectable SIAs)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cold chain, microplanning and teams; consider a combined multi-antigen SIA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6"/>
          <w:szCs w:val="16"/>
        </w:rPr>
        <w:t xml:space="preserve">Integration ladder: Coordination (shared planning calendar) → Collaboration (shared microplanning, mobilisation, transport, supervision) → Co-delivery (same teams/sites, same window) → Co-administration (products given together to the same person).</w:t>
      </w:r>
    </w:p>
    <w:p>
      <w:pPr>
        <w:pStyle w:val="Heading2"/>
      </w:pPr>
      <w:r>
        <w:rPr>
          <w:b/>
          <w:bCs/>
          <w:color w:val="1F6FB2"/>
        </w:rPr>
        <w:t xml:space="preserve">Profile-based complementarity</w:t>
      </w:r>
    </w:p>
    <w:p>
      <w:pPr>
        <w:spacing w:after="120" w:line="264"/>
      </w:pPr>
      <w:r>
        <w:t xml:space="preserve">Onchocerciasis (community-directed treatment, ivermectin) and STH (albendazole) share oral administration and overlapping community/school-age targets and are already flagged for joint CDD delivery — the most mature co-administration opportunity. Schistosomiasis (praziquantel, school-age children) shares the school platform with STH; aligning their currently separate windows would allow a single integrated school-based round.</w:t>
      </w:r>
    </w:p>
    <w:p>
      <w:pPr>
        <w:spacing w:after="120" w:line="264"/>
      </w:pPr>
      <w:r>
        <w:t xml:space="preserve">Measles-rubella and TCV are both injectable, delivered through fixed and temporary posts to overlapping child cohorts and supported by Gavi; although planned eight months apart, they can share microplanning, cold chain and social mobilisation, and could be assessed for combined delivery.</w:t>
      </w:r>
    </w:p>
    <w:p>
      <w:pPr>
        <w:pStyle w:val="Heading2"/>
        <w:pageBreakBefore/>
      </w:pPr>
      <w:r>
        <w:rPr>
          <w:b/>
          <w:bCs/>
          <w:color w:val="1F6FB2"/>
        </w:rPr>
        <w:t xml:space="preserve">Profile-based integration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B2" w:sz="4"/>
              <w:left w:val="single" w:color="1F6FB2" w:sz="4"/>
              <w:bottom w:val="single" w:color="1F6FB2" w:sz="4"/>
              <w:right w:val="single" w:color="1F6FB2" w:sz="4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3C5E"/>
              </w:rPr>
              <w:t xml:space="preserve">How the score is generated.  </w:t>
            </w:r>
            <w:r>
              <w:t xml:space="preserve">Every pair of campaigns is scored on two independent axes. </w:t>
            </w:r>
            <w:r>
              <w:rPr>
                <w:b/>
                <w:bCs/>
              </w:rPr>
              <w:t xml:space="preserve">Profile fit</w:t>
            </w:r>
            <w:r>
              <w:t xml:space="preserve"> (0–100) measures operational similarity from the Campaign Characterisation sheet — a weighted match on delivery platform (×2), target population (×2), mode of delivery (×1) and commodity/supply class (×1). </w:t>
            </w:r>
            <w:r>
              <w:rPr>
                <w:b/>
                <w:bCs/>
              </w:rPr>
              <w:t xml:space="preserve">Time–place alignment</w:t>
            </w:r>
            <w:r>
              <w:t xml:space="preserve"> (0–100) is read from the calendar: 100 = same admin-1 unit and same month in a year; 67 = same month, different place; 33 = same year only; 0 = no overlap. The </w:t>
            </w:r>
            <w:r>
              <w:rPr>
                <w:b/>
                <w:bCs/>
              </w:rPr>
              <w:t xml:space="preserve">combined integration score</w:t>
            </w:r>
            <w:r>
              <w:t xml:space="preserve"> = 0.6 × profile fit + 0.4 × time–place, banded into Tier A (≥70), B (50–69), C (30–49) and D (&lt;30).</w:t>
            </w:r>
          </w:p>
          <w:p>
            <w:pPr>
              <w:spacing w:after="0"/>
            </w:pPr>
            <w:r>
              <w:rPr>
                <w:b/>
                <w:bCs/>
                <w:color w:val="1A3C5E"/>
              </w:rPr>
              <w:t xml:space="preserve">How to read the figures.  </w:t>
            </w:r>
            <w:r>
              <w:rPr>
                <w:b/>
                <w:bCs/>
              </w:rPr>
              <w:t xml:space="preserve">Table 2 (final landscape page) </w:t>
            </w:r>
            <w:r>
              <w:t xml:space="preserve">lists each campaign's characteristics — a shared cell colour down a column means a shared attribute, so rows sharing colours are integration candidates. </w:t>
            </w:r>
            <w:r>
              <w:rPr>
                <w:b/>
                <w:bCs/>
              </w:rPr>
              <w:t xml:space="preserve">The heatmap (Figure 1) </w:t>
            </w:r>
            <w:r>
              <w:t xml:space="preserve">gives the integration score for every pair (greener = higher potential). </w:t>
            </w:r>
            <w:r>
              <w:rPr>
                <w:b/>
                <w:bCs/>
              </w:rPr>
              <w:t xml:space="preserve">The 2×2 matrix (Figure 2) </w:t>
            </w:r>
            <w:r>
              <w:t xml:space="preserve">places each pair by profile fit (x) and time–place alignment (y): top-right = co-deliver now; bottom-right = operationally compatible, reschedule to align; top-left = coordinate logistics only (cannot co-administer); bottom-left = lower priority.</w:t>
            </w:r>
          </w:p>
        </w:tc>
      </w:tr>
    </w:tbl>
    <w:p>
      <w:pPr>
        <w:spacing w:before="140"/>
      </w:pPr>
    </w:p>
    <w:p>
      <w:pPr>
        <w:spacing w:after="40" w:before="60"/>
        <w:jc w:val="center"/>
      </w:pPr>
      <w:r>
        <w:drawing>
          <wp:inline distT="0" distB="0" distL="0" distR="0">
            <wp:extent cx="4476750" cy="3971925"/>
            <wp:effectExtent t="0" r="0" b="0" l="0"/>
            <wp:docPr id="1" name="heat" descr="heat" title="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Figure 1. Pairwise integration potential (combined score 0–100).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4610100"/>
            <wp:effectExtent t="0" r="0" b="0" l="0"/>
            <wp:docPr id="1" name="quad" descr="quad" title="q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Figure 2. Integration potential 2×2 — each point is a campaign pair, triaged into an action quadrant.</w:t>
      </w:r>
    </w:p>
    <w:p>
      <w:pPr>
        <w:pStyle w:val="Heading2"/>
      </w:pPr>
      <w:r>
        <w:rPr>
          <w:b/>
          <w:bCs/>
          <w:color w:val="1F6FB2"/>
        </w:rPr>
        <w:t xml:space="preserve">Highest-scoring campaign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750"/>
        <w:gridCol w:w="301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Campaign pair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Shared characteristics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 + STH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Align the calendar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 + TCV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Align the calendar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STH + Oncho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Coordinate logistics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 + ITN/LLIN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Coordinate logistics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TCV + ITN/LLIN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 + Oncho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ITN/LLIN + Oncho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TCV + SCH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priority</w:t>
            </w:r>
          </w:p>
        </w:tc>
      </w:tr>
    </w:tbl>
    <w:p>
      <w:pPr>
        <w:pStyle w:val="Heading2"/>
        <w:spacing w:before="160"/>
      </w:pPr>
      <w:r>
        <w:rPr>
          <w:b/>
          <w:bCs/>
          <w:color w:val="1F6FB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Prioritise the NTD-PC co-delivery</w:t>
      </w:r>
      <w:r>
        <w:t xml:space="preserve"> — deliver onchocerciasis (± LF) and STH together via CDD, and combine SCH + STH in school-based rounds.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Align immunization SIAs</w:t>
      </w:r>
      <w:r>
        <w:t xml:space="preserve"> — use shared microplanning and cold chain for MR and TCV; evaluate a single multi-antigen campaign subject to vaccine supply and readiness.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Exploit calendar coincidence</w:t>
      </w:r>
      <w:r>
        <w:t xml:space="preserve"> — where ITN and MR fall in the same month (Mar 2027), share mobilisation and transport even though delivery modes differ.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Confirm endemicity and eligibility</w:t>
      </w:r>
      <w:r>
        <w:t xml:space="preserve"> — co-administration should follow WHO PC-NTD co-treatment guidance and district endemicity before finalisation.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2"/>
      </w:pPr>
      <w:r>
        <w:rPr>
          <w:b/>
          <w:bCs/>
          <w:color w:val="1F6FB2"/>
        </w:rPr>
        <w:t xml:space="preserve">Annex — Table 2. Campaign characteristics by attribute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Shared colour within a column = shared attribute = co-delivery enabler.  ‘+’ = campaign also uses other platforms / target groups.</w:t>
      </w:r>
    </w:p>
    <w:p>
      <w:pPr>
        <w:spacing w:after="40" w:before="60"/>
        <w:jc w:val="center"/>
      </w:pPr>
      <w:r>
        <w:drawing>
          <wp:inline distT="0" distB="0" distL="0" distR="0">
            <wp:extent cx="8953500" cy="3219450"/>
            <wp:effectExtent t="0" r="0" b="0" l="0"/>
            <wp:docPr id="1" name="chars" descr="chars" title="ch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5840" w:h="12240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40"/>
    </w:pPr>
    <w:r>
      <w:rPr>
        <w:i/>
        <w:iCs/>
        <w:color w:val="666666"/>
        <w:sz w:val="14"/>
        <w:szCs w:val="14"/>
      </w:rPr>
      <w:t xml:space="preserve">Basis: Sierra Leone Health Campaign Calendar 2026–2028 (revised, ESPEN); WHO Ending the Neglect to Attain the SDGs — NTD road map 2021–2030; WHO PC-NTD co-administration guidance. Confidence: moderate (country self-reported plans). Demo dataset — admin-1 values corrected (e.g. 'North West').</w:t>
    </w:r>
  </w:p>
  <w:p>
    <w:pPr>
      <w:jc w:val="right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40"/>
    </w:pPr>
    <w:r>
      <w:rPr>
        <w:i/>
        <w:iCs/>
        <w:color w:val="666666"/>
        <w:sz w:val="14"/>
        <w:szCs w:val="14"/>
      </w:rPr>
      <w:t xml:space="preserve">Basis: Sierra Leone Health Campaign Calendar 2026–2028 (revised, ESPEN); WHO Ending the Neglect to Attain the SDGs — NTD road map 2021–2030; WHO PC-NTD co-administration guidance. Confidence: moderate (country self-reported plans). Demo dataset — admin-1 values corrected (e.g. 'North West').</w:t>
    </w:r>
  </w:p>
  <w:p>
    <w:pPr>
      <w:jc w:val="right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6" w:space="2"/>
      </w:pBdr>
      <w:spacing w:after="40"/>
    </w:pPr>
    <w:r>
      <w:rPr>
        <w:b/>
        <w:bCs/>
        <w:color w:val="666666"/>
        <w:sz w:val="16"/>
        <w:szCs w:val="16"/>
      </w:rPr>
      <w:t xml:space="preserve">World Health Organization  ·  Regional Office for Africa  ·  ESPEN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6" w:space="2"/>
      </w:pBdr>
      <w:spacing w:after="40"/>
    </w:pPr>
    <w:r>
      <w:rPr>
        <w:b/>
        <w:bCs/>
        <w:color w:val="666666"/>
        <w:sz w:val="16"/>
        <w:szCs w:val="16"/>
      </w:rPr>
      <w:t xml:space="preserve">World Health Organization  ·  Regional Office for Africa  ·  ESPEN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1F6F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6F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50a451791e6ccfc4210f6245e42381f507b7dd2.png"/><Relationship Id="rId12" Type="http://schemas.openxmlformats.org/officeDocument/2006/relationships/image" Target="media/bbe039ae7b682cfddeff6ca341bfbaabb88623ba.png"/><Relationship Id="rId13" Type="http://schemas.openxmlformats.org/officeDocument/2006/relationships/image" Target="media/86cfe3d61e948fc99bc38b88e0b67adb04400cf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2026-06-03T15:33:17.862Z</dcterms:created>
  <dcterms:modified xsi:type="dcterms:W3CDTF">2026-06-03T15:33:17.864Z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