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Georgia" w:cs="Georgia" w:eastAsia="Georgia" w:hAnsi="Georgia"/>
          <w:b/>
          <w:bCs/>
          <w:sz w:val="40"/>
          <w:szCs w:val="40"/>
        </w:rPr>
        <w:t xml:space="preserve">Die drei universellen Ängste der Zielgruppe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Grundprinzip: Menschen kaufen zuerst von einem Menschen, dem sie vertrauen, nicht zuerst ein Produkt. Erst verstehen, wer die Zielgruppe wirklich ist und wovor sie wirklich Angst hat, danach das passende Angebot bauen, nicht umgekehrt.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Alle drei Ängste sind gleich entscheidend, es gibt keine Rangfolge. Sie gelten dauerhaft für jede künftige Zielgruppenarbeit, unabhängig vom jeweiligen Angebot.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1. Zeitarmut und das Wegbrechen der Familie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44,5 Prozent der Selbstständigen mit Beschäftigten in Deutschland arbeiten 49 Stunden pro Woche oder mehr, bei Vollzeit-Arbeitnehmern sind es nur 4,1 Prozent (Destatis, zitiert im Tagesspiegel). Nicht das Produkt macht Angst, sondern der Lebensstil, den das eigene Unternehmen erzwingt.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2. Einsamkeit an der Spitze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55 Prozent der CEOs berichteten 2024 von psychischen Belastungen wie Angst, Depression oder Burnout, Einsamkeit wird dabei häufig als zentrale Ursache genannt. Nach einer vielzitierten Harvard-Business-Review-Untersuchung berichten rund 50 Prozent der CEOs von regelmäßiger Einsamkeit im Job, unter anderem weil es kaum Gleichgestellte gibt, mit denen offen über Schwächen gesprochen werden kann.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3. Die Angst, die Lebensarbeit nicht übergeben zu können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Von „niemand will meinen Betrieb übernehmen" bis „meine Lebensleistung endet, wenn ich aufhöre". Für rund 186.000 Unternehmen in Deutschland steht laut IfM Bonn allein zwischen 2026 und 2030 die Nachfolge an, mit sinkender statt steigender Übernahmequote trotz alternder Inhaberschaft.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Quellen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Tagesspiegel: 49 Wochenstunden und mehr, Selbstständige (Destatis-Daten)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Harvard Business Review / STRIVE Magazine: Einsamkeit an der Spitze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IfM Bonn: Unternehmensnachfolgen in Deutschland 2026 bis 2030</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2026-08-26T22:35:32.089Z</dcterms:created>
  <dcterms:modified xsi:type="dcterms:W3CDTF">2026-08-26T22:35:32.105Z</dcterms:modified>
</cp:coreProperties>
</file>

<file path=docProps/custom.xml><?xml version="1.0" encoding="utf-8"?>
<Properties xmlns="http://schemas.openxmlformats.org/officeDocument/2006/custom-properties" xmlns:vt="http://schemas.openxmlformats.org/officeDocument/2006/docPropsVTypes"/>
</file>