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Zielgruppe für das Großkundenangebot</w:t>
      </w:r>
    </w:p>
    <w:p>
      <w:pPr>
        <w:spacing w:after="200"/>
      </w:pPr>
      <w:r>
        <w:rPr>
          <w:i/>
          <w:iCs/>
        </w:rPr>
        <w:t xml:space="preserve">Zielgruppendefinition für ein Angebot mit 20.000 EUR Einstiegsinvestition und laufender Übernahme mehrerer Marketingbereiche über einen längeren Zeitraum.</w:t>
      </w:r>
    </w:p>
    <w:p>
      <w:pPr>
        <w:pStyle w:val="Heading1"/>
        <w:spacing w:after="160" w:before="360"/>
      </w:pPr>
      <w:r>
        <w:t xml:space="preserve">Warum die Umsatzgröße die zentrale Voraussetzung ist</w:t>
      </w:r>
    </w:p>
    <w:p>
      <w:pPr>
        <w:spacing w:after="200"/>
      </w:pPr>
      <w:r>
        <w:t xml:space="preserve">Laut einer bvik-Studie (Bundesverband Industrie Kommunikation) liegt das B2B-Marketingbudget deutscher Unternehmen im Schnitt bei rund 1,75 Prozent vom Umsatz. Branchenübergreifend werden häufig 2 bis 10 Prozent genannt, mit einem oft zitierten Mittelwert um 6 Prozent, abhängig von Branche, Unternehmensgröße und Wachstumsphase.</w:t>
      </w:r>
    </w:p>
    <w:p>
      <w:pPr>
        <w:spacing w:after="200"/>
      </w:pPr>
      <w:r>
        <w:t xml:space="preserve">Damit ein Einstieg von 20.000 EUR eine vernünftige, nicht existenzielle Entscheidung ist und danach noch Raum für die laufende Zusammenarbeit bleibt, sollte das jährliche Marketingbudget des Unternehmens diese Summe deutlich übersteigen. Grob gerechnet setzt das einen Jahresumsatz ab etwa 2 bis 5 Millionen Euro als untere Grenze voraus, bei margenstärkeren oder consumer-nahen Branchen auch darunter möglich, bei reinen B2B-Industriebetrieben eher am oberen Ende dieser Spanne.</w:t>
      </w:r>
    </w:p>
    <w:p>
      <w:pPr>
        <w:pStyle w:val="Heading1"/>
        <w:spacing w:after="160" w:before="360"/>
      </w:pPr>
      <w:r>
        <w:t xml:space="preserve">Weitere Kriterien</w:t>
      </w:r>
    </w:p>
    <w:p>
      <w:pPr>
        <w:spacing w:after="120"/>
        <w:ind w:left="360"/>
      </w:pPr>
      <w:r>
        <w:t xml:space="preserve">• Mindestens 50 Mitarbeiter oder mehrere Standorte.</w:t>
      </w:r>
    </w:p>
    <w:p>
      <w:pPr>
        <w:spacing w:after="120"/>
        <w:ind w:left="360"/>
      </w:pPr>
      <w:r>
        <w:t xml:space="preserve">• Inhabergeführt mit einer klaren Entscheidungsperson, damit die Entscheidung schnell fällt und nicht durch ein Gremium oder eine Einkaufsabteilung läuft.</w:t>
      </w:r>
    </w:p>
    <w:p>
      <w:pPr>
        <w:spacing w:after="120"/>
        <w:ind w:left="360"/>
      </w:pPr>
      <w:r>
        <w:t xml:space="preserve">• Sichtbare Wachstums- oder Umbruchsphase: neue Standorte, Nachfolgeregelung, Expansion, größere Investition ins Unternehmen.</w:t>
      </w:r>
    </w:p>
    <w:p>
      <w:pPr>
        <w:spacing w:after="120"/>
        <w:ind w:left="360"/>
      </w:pPr>
      <w:r>
        <w:t xml:space="preserve">• Bereits ein gewisses Marketingbudget vorhanden, auch wenn es aktuell auf mehrere Einzeldienstleister verteilt ist, ohne Gesamtbild.</w:t>
      </w:r>
    </w:p>
    <w:p>
      <w:pPr>
        <w:spacing w:after="120"/>
        <w:ind w:left="360"/>
      </w:pPr>
      <w:r>
        <w:t xml:space="preserve">• Aktiver Personalbedarf in größerem Stil, besonders in Branchen mit Fachkräftemangel. Das schafft zusätzlichen Bedarf an Employer-Branding.</w:t>
      </w:r>
    </w:p>
    <w:p>
      <w:pPr>
        <w:pStyle w:val="Heading1"/>
        <w:spacing w:after="160" w:before="360"/>
      </w:pPr>
      <w:r>
        <w:t xml:space="preserve">Branchen, die für dieses Angebot infrage kommen</w:t>
      </w:r>
    </w:p>
    <w:p>
      <w:pPr>
        <w:spacing w:after="120"/>
        <w:ind w:left="360"/>
      </w:pPr>
      <w:r>
        <w:t xml:space="preserve">• </w:t>
      </w:r>
      <w:r>
        <w:rPr>
          <w:b/>
          <w:bCs/>
        </w:rPr>
        <w:t xml:space="preserve">Größere Bauunternehmen und Bauträger: </w:t>
      </w:r>
      <w:r>
        <w:t xml:space="preserve">hohe Projektwerte, oft mehrere Baustellen parallel, Marketing entscheidet direkt über Grundstücksverkäufe oder Vergabe.</w:t>
      </w:r>
    </w:p>
    <w:p>
      <w:pPr>
        <w:spacing w:after="120"/>
        <w:ind w:left="360"/>
      </w:pPr>
      <w:r>
        <w:t xml:space="preserve">• </w:t>
      </w:r>
      <w:r>
        <w:rPr>
          <w:b/>
          <w:bCs/>
        </w:rPr>
        <w:t xml:space="preserve">Autohausgruppen mit mehreren Standorten oder Marken: </w:t>
      </w:r>
      <w:r>
        <w:t xml:space="preserve">etablierte Umsätze, mehrere Geschäftsfelder (Verkauf, Service, Gebrauchtwagen), die koordiniert vermarktet werden müssen.</w:t>
      </w:r>
    </w:p>
    <w:p>
      <w:pPr>
        <w:spacing w:after="120"/>
        <w:ind w:left="360"/>
      </w:pPr>
      <w:r>
        <w:t xml:space="preserve">• </w:t>
      </w:r>
      <w:r>
        <w:rPr>
          <w:b/>
          <w:bCs/>
        </w:rPr>
        <w:t xml:space="preserve">Größere SHK- und Elektrobetriebe mit mehreren Standorten: </w:t>
      </w:r>
      <w:r>
        <w:t xml:space="preserve">oft familiengeführt, häufig in der Nachfolge, klassischer Fachkräftemangel, dadurch doppelter Bedarf an Kunden- und Mitarbeitergewinnung.</w:t>
      </w:r>
    </w:p>
    <w:p>
      <w:pPr>
        <w:spacing w:after="120"/>
        <w:ind w:left="360"/>
      </w:pPr>
      <w:r>
        <w:t xml:space="preserve">• </w:t>
      </w:r>
      <w:r>
        <w:rPr>
          <w:b/>
          <w:bCs/>
        </w:rPr>
        <w:t xml:space="preserve">Mittelständische Maschinenbau- und Industriebetriebe (B2B): </w:t>
      </w:r>
      <w:r>
        <w:t xml:space="preserve">oft „Hidden Champions“ mit starkem Produkt, aber schwacher digitaler Präsenz, teils mit Exportgeschäft, brauchen mehrsprachigen, professionellen Auftritt und LinkedIn-Positionierung.</w:t>
      </w:r>
    </w:p>
    <w:p>
      <w:pPr>
        <w:spacing w:after="120"/>
        <w:ind w:left="360"/>
      </w:pPr>
      <w:r>
        <w:t xml:space="preserve">• </w:t>
      </w:r>
      <w:r>
        <w:rPr>
          <w:b/>
          <w:bCs/>
        </w:rPr>
        <w:t xml:space="preserve">Größere Zahnarztpraxen, MVZ und Klinikgruppen: </w:t>
      </w:r>
      <w:r>
        <w:t xml:space="preserve">mehrere Standorte oder Ärzte, hohe Marge, Patientengewinnung und Reputation sind direkt umsatzrelevant.</w:t>
      </w:r>
    </w:p>
    <w:p>
      <w:pPr>
        <w:spacing w:after="120"/>
        <w:ind w:left="360"/>
      </w:pPr>
      <w:r>
        <w:t xml:space="preserve">• </w:t>
      </w:r>
      <w:r>
        <w:rPr>
          <w:b/>
          <w:bCs/>
        </w:rPr>
        <w:t xml:space="preserve">Pflegeheim- und Pflegedienstketten: </w:t>
      </w:r>
      <w:r>
        <w:t xml:space="preserve">Wachstumsbranche, hoher Personalbedarf, Vertrauen und Trägerreputation sind zentrale Kaufkriterien.</w:t>
      </w:r>
    </w:p>
    <w:p>
      <w:pPr>
        <w:spacing w:after="120"/>
        <w:ind w:left="360"/>
      </w:pPr>
      <w:r>
        <w:t xml:space="preserve">• </w:t>
      </w:r>
      <w:r>
        <w:rPr>
          <w:b/>
          <w:bCs/>
        </w:rPr>
        <w:t xml:space="preserve">Kanzleien mit mehreren Partnern (Steuerberatung, Wirtschaftsprüfung, Recht): </w:t>
      </w:r>
      <w:r>
        <w:t xml:space="preserve">solide Umsätze, oft historisch schwaches Marketing, häufig im Generationswechsel.</w:t>
      </w:r>
    </w:p>
    <w:p>
      <w:pPr>
        <w:spacing w:after="120"/>
        <w:ind w:left="360"/>
      </w:pPr>
      <w:r>
        <w:t xml:space="preserve">• </w:t>
      </w:r>
      <w:r>
        <w:rPr>
          <w:b/>
          <w:bCs/>
        </w:rPr>
        <w:t xml:space="preserve">Speditionen und Logistikunternehmen im Wachstum: </w:t>
      </w:r>
      <w:r>
        <w:t xml:space="preserve">B2B, spürbarer Fahrermangel, brauchen sowohl Neukunden- als auch Recruiting-Marketing.</w:t>
      </w:r>
    </w:p>
    <w:p>
      <w:pPr>
        <w:spacing w:after="120"/>
        <w:ind w:left="360"/>
      </w:pPr>
      <w:r>
        <w:t xml:space="preserve">• </w:t>
      </w:r>
      <w:r>
        <w:rPr>
          <w:b/>
          <w:bCs/>
        </w:rPr>
        <w:t xml:space="preserve">Immobilien-Projektentwickler: </w:t>
      </w:r>
      <w:r>
        <w:t xml:space="preserve">sehr hoher Wert pro Transaktion, Marketingbudget lässt sich direkt aus einzelnen Verkäufen rechtfertigen.</w:t>
      </w:r>
    </w:p>
    <w:p>
      <w:pPr>
        <w:spacing w:after="120"/>
        <w:ind w:left="360"/>
      </w:pPr>
      <w:r>
        <w:t xml:space="preserve">• </w:t>
      </w:r>
      <w:r>
        <w:rPr>
          <w:b/>
          <w:bCs/>
        </w:rPr>
        <w:t xml:space="preserve">Größere Möbel- und Einrichtungshäuser: </w:t>
      </w:r>
      <w:r>
        <w:t xml:space="preserve">stehen im direkten Wettbewerb zu großen Ketten, brauchen vollständige digitale Neuaufstellung, um sichtbar zu bleiben.</w:t>
      </w:r>
    </w:p>
    <w:p>
      <w:pPr>
        <w:spacing w:after="200"/>
      </w:pPr>
      <w:r>
        <w:t xml:space="preserve">Alle genannten Branchen liegen weiterhin innerhalb der trend-unabhängigen, stabilen Branchenpriorität, hier nur auf die größere, umsatzstärkere Ausprägung derselben Branchen zugespitzt.</w:t>
      </w:r>
    </w:p>
    <w:p>
      <w:pPr>
        <w:pStyle w:val="Heading1"/>
        <w:spacing w:after="160" w:before="360"/>
      </w:pPr>
      <w:r>
        <w:t xml:space="preserve">Was das für die Recherche bedeutet</w:t>
      </w:r>
    </w:p>
    <w:p>
      <w:pPr>
        <w:spacing w:after="200"/>
      </w:pPr>
      <w:r>
        <w:t xml:space="preserve">Dieselben Recherchequellen wie bei der allgemeinen Kaltakquise (Branchenverzeichnisse, IHK, Google-Recherche), zusätzlich gezielt nach Unternehmensgröße filtern: Mitarbeiterzahl über LinkedIn, mehrere Standorte über Google Maps, Umsatzgrößenordnung grob über das Impressum oder öffentlich einsehbare Bilanzdaten, zum Beispiel über den Bundesanzeiger. Aktive Stellenanzeigen in größerem Umfang sind ein zusätzliches, schnell prüfbares Signal für Wachstum und Personalbedarf.</w:t>
      </w:r>
    </w:p>
    <w:p>
      <w:pPr>
        <w:pStyle w:val="Heading2"/>
        <w:spacing w:after="120" w:before="280"/>
      </w:pPr>
      <w:r>
        <w:t xml:space="preserve">Offen</w:t>
      </w:r>
    </w:p>
    <w:p>
      <w:pPr>
        <w:spacing w:after="200"/>
      </w:pPr>
      <w:r>
        <w:t xml:space="preserve">Für dieses Angebot fehlt noch die eigentliche Paketdefinition, also was genau die 20.000 EUR und die laufende Zusammenarbeit konkret umfassen.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2026-08-25T23:35:54.945Z</dcterms:created>
  <dcterms:modified xsi:type="dcterms:W3CDTF">2026-08-25T23:35:54.956Z</dcterms:modified>
</cp:coreProperties>
</file>

<file path=docProps/custom.xml><?xml version="1.0" encoding="utf-8"?>
<Properties xmlns="http://schemas.openxmlformats.org/officeDocument/2006/custom-properties" xmlns:vt="http://schemas.openxmlformats.org/officeDocument/2006/docPropsVTypes"/>
</file>