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/>
      </w:pPr>
      <w:r>
        <w:rPr>
          <w:rFonts w:ascii="Georgia" w:cs="Georgia" w:eastAsia="Georgia" w:hAnsi="Georgia"/>
          <w:b/>
          <w:bCs/>
          <w:sz w:val="40"/>
          <w:szCs w:val="40"/>
        </w:rPr>
        <w:t xml:space="preserve">Branchenpriorität für die Kaltakquise</w:t>
      </w:r>
    </w:p>
    <w:p>
      <w:p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0" w:before="0"/>
        <w:ind w:left="300"/>
      </w:pPr>
      <w:r>
        <w:rPr>
          <w:rFonts w:ascii="Calibri" w:cs="Calibri" w:eastAsia="Calibri" w:hAnsi="Calibri"/>
          <w:b w:val="false"/>
          <w:bCs w:val="false"/>
          <w:i/>
          <w:iCs/>
          <w:sz w:val="19"/>
          <w:szCs w:val="19"/>
        </w:rPr>
        <w:t xml:space="preserve">Trend-unabhängige, stabile Unternehmen, die einen guten Online-Auftritt als selbstverständliche, dauerhafte Notwendigkeit verstehen, nicht als Reaktion auf einen aktuellen Hype wie KI. Branche bleibt weiterhin ein offenes, weiches Kriterium, die schwache Website bleibt das einzige harte Kriterium.</w:t>
      </w:r>
    </w:p>
    <w:p>
      <w:p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25"/>
          <w:szCs w:val="25"/>
        </w:rPr>
        <w:t xml:space="preserve">Kriterien für Stabilität</w:t>
      </w:r>
    </w:p>
    <w:p>
      <w:p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0" w:before="0"/>
        <w:ind w:left="106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Erfüllt ein Grundbedürfnis, das sich langfristig nicht ändert, zum Beispiel Wohnen, Reparatur, Gesundheit, Ernährung, Recht.</w:t>
      </w:r>
    </w:p>
    <w:p>
      <w:p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0" w:before="0"/>
        <w:ind w:left="106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Physisches, lokales Geschäft, das nicht durch reine Software oder eine App ersetzt werden kann.</w:t>
      </w:r>
    </w:p>
    <w:p>
      <w:p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0" w:before="0"/>
        <w:ind w:left="106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Reguliert oder an eine Qualifikation gebunden, zum Beispiel Meisterpflicht oder Zulassung, das schafft eine natürliche Eintrittsbarriere gegen plötzliche Disruption.</w:t>
      </w:r>
    </w:p>
    <w:p>
      <w:p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0" w:before="0"/>
        <w:ind w:left="106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Beziehungs- und empfehlungsbasiertes Geschäft, in dem Vertrauen über Jahre wichtiger ist als der aktuelle Trend.</w:t>
      </w:r>
    </w:p>
    <w:p>
      <w:p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0" w:before="0"/>
        <w:ind w:left="106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Laufender Wartungs- oder Ersatzbedarf, der nicht verschwindet, zum Beispiel Heizungen, Fahrzeuge, Gebäude.</w:t>
      </w:r>
    </w:p>
    <w:p>
      <w:p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25"/>
          <w:szCs w:val="25"/>
        </w:rPr>
        <w:t xml:space="preserve">Passende Branchenkategorien</w:t>
      </w:r>
    </w:p>
    <w:p>
      <w:p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0" w:before="0"/>
        <w:ind w:left="106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Bau und Handwerk: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Bauunternehmen, Zimmerei, Dachdecker, Maler und Lackierer, Fliesenleger, Fensterbau und Glaserei, Metallbau und Schlosserei, Sanitär, Heizung und Klima, Elektrotechnik, Schreinerei und Tischlerei.</w:t>
      </w:r>
    </w:p>
    <w:p>
      <w:p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0" w:before="0"/>
        <w:ind w:left="106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Fahrzeug und Mobilität: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KFZ-Werkstätten, Autohäuser, Kfz-Sachverständige, Landmaschinen-Werkstätten.</w:t>
      </w:r>
    </w:p>
    <w:p>
      <w:p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0" w:before="0"/>
        <w:ind w:left="106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Gesundheit und Pflege: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Zahnärzte, Fachärzte, Physiotherapie, Apotheken, Pflegedienste, Tierärzte.</w:t>
      </w:r>
    </w:p>
    <w:p>
      <w:p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0" w:before="0"/>
        <w:ind w:left="106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Recht, Steuern und Finanzen mit Bestandskundschaft: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Steuerberater, Wirtschaftsprüfer, Rechtsanwälte, Notare, etablierte Versicherungsmakler.</w:t>
      </w:r>
    </w:p>
    <w:p>
      <w:p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0" w:before="0"/>
        <w:ind w:left="106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Lebensmittelhandwerk: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Bäckereien, Metzgereien, Brauereien, Weingüter.</w:t>
      </w:r>
    </w:p>
    <w:p>
      <w:p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0" w:before="0"/>
        <w:ind w:left="106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Persönliche Dienstleistungen: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Friseure, Kosmetikstudios, Optiker, Hörgeräteakustiker, Bestattungsunternehmen.</w:t>
      </w:r>
    </w:p>
    <w:p>
      <w:p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0" w:before="0"/>
        <w:ind w:left="106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Landwirtschaft und Grünflächen: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landwirtschaftliche Betriebe, Garten- und Landschaftsbau, Gärtnereien.</w:t>
      </w:r>
    </w:p>
    <w:p>
      <w:p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0" w:before="0"/>
        <w:ind w:left="106"/>
      </w:pPr>
      <w:r>
        <w:rPr>
          <w:rFonts w:ascii="Calibri" w:cs="Calibri" w:eastAsia="Calibri" w:hAnsi="Calibri"/>
          <w:sz w:val="22"/>
          <w:szCs w:val="22"/>
        </w:rPr>
        <w:t xml:space="preserve">• </w:t>
      </w: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Weitere stabile Dienstleistungen: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Gebäudereinigung, Sicherheitsdienste, Personaldienstleister, regionale Spedition und Logistik.</w:t>
      </w:r>
    </w:p>
    <w:p>
      <w:p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25"/>
          <w:szCs w:val="25"/>
        </w:rPr>
        <w:t xml:space="preserve">Bewusst nachrangig</w:t>
      </w:r>
    </w:p>
    <w:p>
      <w:p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0" w:before="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Branchen, die selbst auf einem aktuellen Trend aufbauen, zum Beispiel Software-Startups, KI-Beratungen, Krypto- oder Web3-Anbieter, Dropshipping, reine Influencer- oder Social-Media-Marken. Dort ist die Erwartungshaltung ans eigene Marketing oft selbst hype-getrieben, was der langfristigen, ganzheitlichen Recognize-You-Philosophie eher widerspricht.</w:t>
      </w:r>
    </w:p>
    <w:sectPr>
      <w:pgSz w:w="11906" w:h="16838" w:orient="portrait"/>
      <w:pgMar w:top="1296" w:right="1296" w:bottom="1296" w:left="1296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2026-08-26T03:12:56.973Z</dcterms:created>
  <dcterms:modified xsi:type="dcterms:W3CDTF">2026-08-26T03:12:56.973Z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