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b/>
          <w:bCs/>
          <w:sz w:val="40"/>
          <w:szCs w:val="40"/>
        </w:rPr>
        <w:t xml:space="preserve">Die drei universellen Ängste der Zielgruppe</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9"/>
          <w:szCs w:val="19"/>
        </w:rPr>
        <w:t xml:space="preserve">Grundprinzip: Menschen kaufen zuerst von einem Menschen, dem sie vertrauen, nicht zuerst ein Produkt. Erst verstehen, wer die Zielgruppe wirklich ist und wovor sie wirklich Angst hat, danach das passende Angebot bauen, nicht umgekehrt.</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9"/>
          <w:szCs w:val="19"/>
        </w:rPr>
        <w:t xml:space="preserve">Alle drei Ängste sind gleich entscheidend, es gibt keine Rangfolge. Sie gelten dauerhaft für jede künftige Zielgruppenarbeit, unabhängig vom jeweiligen Angebot.</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bCs/>
          <w:sz w:val="25"/>
          <w:szCs w:val="25"/>
        </w:rPr>
        <w:t xml:space="preserve">1. Zeitarmut und das Wegbrechen der Familie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44,5 Prozent der Selbstständigen mit Beschäftigten in Deutschland arbeiten 49 Stunden pro Woche oder mehr, bei Vollzeit-Arbeitnehmern sind es nur 4,1 Prozent (Destatis, zitiert im Tagesspiegel). Nicht das Produkt macht Angst, sondern der Lebensstil, den das eigene Unternehmen erzwingt.</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bCs/>
          <w:sz w:val="25"/>
          <w:szCs w:val="25"/>
        </w:rPr>
        <w:t xml:space="preserve">2. Einsamkeit an der Spitze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55 Prozent der CEOs berichteten 2024 von psychischen Belastungen wie Angst, Depression oder Burnout, Einsamkeit wird dabei häufig als zentrale Ursache genannt. Nach einer vielzitierten Harvard-Business-Review-Untersuchung berichten rund 50 Prozent der CEOs von regelmäßiger Einsamkeit im Job, unter anderem weil es kaum Gleichgestellte gibt, mit denen offen über Schwächen gesprochen werden kann.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bCs/>
          <w:sz w:val="25"/>
          <w:szCs w:val="25"/>
        </w:rPr>
        <w:t xml:space="preserve">3. Die Angst, die Lebensarbeit nicht übergeben zu können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Von „niemand will meinen Betrieb übernehmen" bis „meine Lebensleistung endet, wenn ich aufhöre". Für rund 186.000 Unternehmen in Deutschland steht laut IfM Bonn allein zwischen 2026 und 2030 die Nachfolge an, mit sinkender statt steigender Übernahmequote trotz alternder Inhaberschaft.</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bCs/>
          <w:sz w:val="25"/>
          <w:szCs w:val="25"/>
        </w:rPr>
        <w:t xml:space="preserve">Quellen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Tagesspiegel: 49 Wochenstunden und mehr, Selbstständige (Destatis-Daten)</w:t>
      </w:r>
    </w:p>
    <w:p>
      <w:pPr>
        <w:spacing w:after="0" w:before="0"/>
        <w:ind w:left="106"/>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Harvard Business Review / STRIVE Magazine: Einsamkeit an der Spitze</w:t>
      </w:r>
    </w:p>
    <w:p>
      <w:pPr>
        <w:spacing w:after="0" w:before="0"/>
        <w:ind w:left="106"/>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IfM Bonn: Unternehmensnachfolgen in Deutschland 2026 bis 2030</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2026-08-26T22:37:40.323Z</dcterms:created>
  <dcterms:modified xsi:type="dcterms:W3CDTF">2026-08-26T22:37:40.324Z</dcterms:modified>
</cp:coreProperties>
</file>

<file path=docProps/custom.xml><?xml version="1.0" encoding="utf-8"?>
<Properties xmlns="http://schemas.openxmlformats.org/officeDocument/2006/custom-properties" xmlns:vt="http://schemas.openxmlformats.org/officeDocument/2006/docPropsVTypes"/>
</file>