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方正仿宋_GB2312" w:hAnsi="方正仿宋_GB2312" w:eastAsia="方正仿宋_GB2312"/>
          <w:b/>
          <w:color w:val="1A1A1A"/>
          <w:sz w:val="36"/>
        </w:rPr>
        <w:t>阳光 3S 遥感平台</w:t>
      </w:r>
    </w:p>
    <w:p>
      <w:pPr>
        <w:spacing w:after="120"/>
        <w:jc w:val="center"/>
      </w:pPr>
      <w:r>
        <w:rPr>
          <w:rFonts w:ascii="方正仿宋_GB2312" w:hAnsi="方正仿宋_GB2312" w:eastAsia="方正仿宋_GB2312"/>
          <w:b/>
          <w:color w:val="1A1A1A"/>
          <w:sz w:val="36"/>
        </w:rPr>
        <w:t>操作·服务·运行原理说明手册</w:t>
      </w:r>
    </w:p>
    <w:p>
      <w:pPr>
        <w:spacing w:after="320"/>
        <w:jc w:val="center"/>
      </w:pPr>
      <w:r>
        <w:rPr>
          <w:rFonts w:ascii="方正仿宋_GB2312" w:hAnsi="方正仿宋_GB2312" w:eastAsia="方正仿宋_GB2312"/>
          <w:b w:val="0"/>
          <w:color w:val="7A7A7A"/>
          <w:sz w:val="21"/>
        </w:rPr>
        <w:t>版本 V1.0　|　基准日期 2026 年 10 月 8 日　|　内部使用</w:t>
      </w:r>
    </w:p>
    <w:p>
      <w:pPr>
        <w:spacing w:after="20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本手册面向平台使用与运维人员，涵盖三部分：操作说明（八个标签页逐项怎么用）、服务说明（平台提供什么、数据口径如何界定）、运行原理（系统如何组成、数据如何流动、性能与安全如何保障）。全部内容取自平台当前代码与实测结果，未作推测。</w:t>
      </w:r>
    </w:p>
    <w:p>
      <w:pPr>
        <w:spacing w:after="8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spacing w:before="260" w:after="100"/>
      </w:pPr>
      <w:r>
        <w:rPr>
          <w:rFonts w:ascii="方正仿宋_GB2312" w:hAnsi="方正仿宋_GB2312" w:eastAsia="方正仿宋_GB2312"/>
          <w:b/>
          <w:color w:val="1A1A1A"/>
          <w:sz w:val="24"/>
        </w:rPr>
        <w:t>一、操作说明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（一）访问与登录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为纯静态站点，浏览器打开网址即进入访问门禁，需输入访问口令方可使用。口令校验通过后写入会话存储，关闭标签页即失效，需重新输入。平台无账号体系、不采集用户身份信息，也不联机回传任何操作日志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7A7A7A"/>
          <w:sz w:val="19"/>
        </w:rPr>
        <w:t>门禁的作用是限定使用范围，不是用户鉴权。若需对外正式提供，应在平台前端之外另行加装企业统一身份认证。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（二）总体界面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界面分三区：顶部为标签栏，八个标签对应八项功能，标签右侧的角标标明该功能的数据性质（测试版、真实、演示版、本机），这是判断数据能否引用的直接依据；左侧为操作与信息面板，随标签切换而更换；右侧为地图区，各视图共用一套地图操作方式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地图区通用操作：右上角三个按钮分别为放大、缩小、复位；鼠标左键拖动平移，滚轮缩放；在地图要素上单击进入下一级视图，面包屑显示当前层级，点击「返回上级」逐级回退。</w:t>
      </w:r>
    </w:p>
    <w:p>
      <w:pPr>
        <w:spacing w:after="6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474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标签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功能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数据性质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主要用途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全国遥感地图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省市区县乡村五级下钻 + 八类专题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真实卫星 + 模拟测算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遥感态势与专题研判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资质资格地图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经营资质与政策性资格上图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真实台账（脱敏）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确认可经营区域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总览驾驶舱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全国农险总览、省域排名、在监灾情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演示版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汇报与总览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承保风险地图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重点县下钻、地块风险统计、验标作业流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演示版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承保前风险查勘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承保信息上传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上传本司承保台账并空间化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本机解析，不出本机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自有承保分布分析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理赔定损地图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定损案件、乡镇进度、影像数据源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演示版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查勘定损辅助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预警与调度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预警任务、对接类型、处置流程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演示版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灾前调度协同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灾情损失评估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五维风险输入、重点县灾损、效率实证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演示版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灾损评估与复盘</w:t>
            </w:r>
          </w:p>
        </w:tc>
      </w:tr>
    </w:tbl>
    <w:p>
      <w:pPr>
        <w:spacing w:after="8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（三）全国遥感地图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1. 专题图层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左侧面板列出十项专题，分两组口径：八项为遥感观测类（栅格影像），两项为业务分级类（矢量色块）。点击任一项即切换，地图与图例同步刷新。遥感观测类专题在县级及以下层级，若该县有真实卫星反演数据，则显示实测值；无实测数据时回退为模拟值场，并在详情中注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928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专题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含义与用途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标注数据来源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植被长势指数 NDVI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归一化植被指数，反映作物长势与生物量，数值越高长势越好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GF-6 PMS · Sentinel-2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干旱指数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基于降水距平与土壤墒情的综合干旱指数，黄至红表示旱情加重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气象站 + 遥感反演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洪涝淹没指数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基于合成孔径雷达的水体提取，蓝色深浅表示淹没程度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Sentinel-1 SAR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冰雹大风影响场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基于回波强度的灾害影响范围估计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天气雷达 + 地面站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地上生物量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单位面积植被干物质估算量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GF-6 PMS · Sentinel-2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有效积温（≥10℃）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作物积温累积量，反映热量条件是否满足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气象站日温 + 空间插值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土壤墒情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土壤含水量状况，反映旱情与灌溉需求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SMAP L-band + 气象站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地表温度 LST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地表热环境状况，可辅助识别干旱与火灾风险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FY-4B AGRI · MODIS LST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承保热力分布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按保费规模分级渲染（矢量）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业务口径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灾情分布场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在监预警影响范围（矢量）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业务口径</w:t>
            </w:r>
          </w:p>
        </w:tc>
      </w:tr>
    </w:tbl>
    <w:p>
      <w:pPr>
        <w:spacing w:after="40"/>
        <w:ind w:left="240"/>
      </w:pPr>
      <w:r>
        <w:rPr>
          <w:rFonts w:ascii="方正仿宋_GB2312" w:hAnsi="方正仿宋_GB2312" w:eastAsia="方正仿宋_GB2312"/>
          <w:b w:val="0"/>
          <w:color w:val="7A7A7A"/>
          <w:sz w:val="17"/>
        </w:rPr>
        <w:t>说明：上表「标注数据来源」为平台标注口径。除县级 NDVI 等已有实测反演数据的专题外，其余专题当前为模拟测算值，仅用于图层渲染与界面演示，不代表卫星实际观测结果，不可用于业务判断。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2. 五级下钻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在地图上单击省、市、县、乡镇任意一级面即进入下一级，面包屑同步显示当前路径。进入县级后，系统会自动加载该县的乡镇界线并叠加显示。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7A7A7A"/>
          <w:sz w:val="19"/>
        </w:rPr>
        <w:t>部分省份（如新疆）的乡镇数据与县界数据采用不同的编码体系，平台已通过空间范围自动关联。若进入某县后乡镇未出现，说明该县缺少乡镇数据，请改用上一级查看。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7A7A7A"/>
          <w:sz w:val="19"/>
        </w:rPr>
        <w:t>若某县提示「县级边界未取到（仅市级）」，说明该省边界数据本次未取到，通常为网络波动所致，重新点击该市即可重试。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（四）资质资格地图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用于确认可经营区域。左侧提供区县搜索框，可直接输入县区名称定位。地图区分两种状态：同时具备经营资质与政策性农险资格、有经营资质但无政策性业务资格，以不同颜色区分。面板另列省级排名、政策性资格类型、具体落地险种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本视图数据来自公司内部台账，已做脱敏处理，人员与客户信息不予显示。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（五）承保信息上传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这是平台唯一涉及本司敏感经营数据的模块，操作上分为四步。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第 1 步　上传文件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将承保台账文件拖入上传区，或点击上传区选择文件。支持 Excel（.xlsx）、CSV（.csv）三种格式。表头前的说明行（如「XX分公司承保明细」）会被自动跳过。CSV 文件若为 GBK 编码或带有不匹配的编码标记，平台会自动识别并正确还原中文。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第 2 步　核对字段映射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按字段别名自动识别十三类字段，包括保单号、被保险人、证件号、作物、承保面积、保额、保费、乡镇、行政村、县、起保日期、经度、纬度。识别结果列在字段映射区，右侧为匹配到的原始列，可逐项手动改。标有星号的为必需字段，未匹配时该列无法参与计算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下方数据预览区展示前若干行原值，同时高亮已映射的列，便于快速核对。若表中有多个工作表，可用工作表下拉框切换。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第 3 步　生成空间分布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点击「生成承保空间分布」，平台按县聚合后着色，并在地图上以县界呈现。面颜色深浅代表保费规模高低。有经纬度的保单按精确坐标落点；仅有县名的保单按县中心落点。若经纬度明显落在所属县域之外，平台会自动回退到县中心并在信息栏标注，避免出现飞点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同时输出四项结果：承保总览指标、县域保费排名、作物构成、在监灾点影响分析，以及可逐条查看的承保明细表（姓名已脱敏）。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第 4 步　导出或留存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「导出标准化 CSV」输出规范化后的承保明细，用于后续统计。「留存到本机」将数据保存在本机浏览器中，下次打开自动恢复。「清除本机数据」彻底删除留存内容。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（六）其他四个视图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总览驾驶舱、承保风险地图、理赔定损地图、预警与调度、灾情损失评估五个视图为业务演示与汇报场景设计，左侧为指标与作业流程面板，右侧为地图。操作方式统一：面板内选择条目或点击地图要素，右侧联动显示。灾情损失评估为纯面板视图，无地图区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（七）承保信息上传的注意事项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承保明细含被保险人身份信息与保单信息，属敏感数据。平台为纯静态站点，文件全程只在浏览器内存中解析，不向任何服务器发送，实测上传全程网络请求中不含任何数据内容，关闭页面数据即消失。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A03A3A"/>
          <w:sz w:val="19"/>
        </w:rPr>
        <w:t>若使用「留存到本机」，数据仅写入本机浏览器，共享电脑上不应开启。会议演示或对外展示前，建议先执行「清除本机数据」。</w:t>
      </w:r>
    </w:p>
    <w:p>
      <w:pPr>
        <w:spacing w:before="260" w:after="100"/>
      </w:pPr>
      <w:r>
        <w:rPr>
          <w:rFonts w:ascii="方正仿宋_GB2312" w:hAnsi="方正仿宋_GB2312" w:eastAsia="方正仿宋_GB2312"/>
          <w:b/>
          <w:color w:val="1A1A1A"/>
          <w:sz w:val="24"/>
        </w:rPr>
        <w:t>二、服务说明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（一）平台定位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是面向农业保险业务的遥感与地理信息工作台，解决三个层面的问题：看清空间态势（遥感地图）、确认可经营资格（资质地图）、用好自有承保数据（承保上传）。它不是出单系统，也不承担定损结论，而是提供辅助研判与作业视图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（二）服务能力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服务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解决什么问题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交付形态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遥感态势研判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作物长势、旱涝、低温、冰雹等风险的空间分布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五级下钻 + 八类专题 + 专题值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经营资格确认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哪些县区可以承保、可以做什么险种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资质资格分布图 + 搜索定位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自有承保分析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我司保费在空间上怎么分布、集中度如何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县乡级聚合 + 排名 + 灾点影响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灾前调度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灾害来了先派谁、查哪里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预警任务 + 影响范围 + 处置流程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灾损复盘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一次灾害的实际影响与效率改善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五维评估 + 县灾损总览 + 效率实证</w:t>
            </w:r>
          </w:p>
        </w:tc>
      </w:tr>
    </w:tbl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（三）数据口径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平台对每一处数据都标注来源，不混用不同口径的数据。这在使用时最需要注意，因为真实观测值、模拟测算值、内部台账三类数据的可信度完全不同。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04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口径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当前状态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可否用于业务判断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行政边界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阿里云 DataV.GeoAtlas 公开边界服务，真实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可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县级参照索引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1733 个县级行政区，含 93 条历史名称别名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可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经营资质与政策性资格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公司内部台账（基准 2026-08-14，内部脱敏）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可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NDVI 等专题（县级）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391 个县 Sentinel-2 实测反演，时相 2026-05-01 至 10-06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可，注意时相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NDWI / NDMI / NDRE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部分县波段未取到，界面显示为未实测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未实测者不可用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其余专题图层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模拟测算值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不可，仅供界面演示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灾点在监数据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平台模拟在监数据，粒度到省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不可用于县级受灾判定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承保上传数据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本机文件，来源为用户自己的台账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可</w:t>
            </w:r>
          </w:p>
        </w:tc>
      </w:tr>
    </w:tbl>
    <w:p>
      <w:pPr>
        <w:spacing w:after="40"/>
        <w:ind w:left="240"/>
      </w:pPr>
      <w:r>
        <w:rPr>
          <w:rFonts w:ascii="方正仿宋_GB2312" w:hAnsi="方正仿宋_GB2312" w:eastAsia="方正仿宋_GB2312"/>
          <w:b w:val="0"/>
          <w:color w:val="7A7A7A"/>
          <w:sz w:val="17"/>
        </w:rPr>
        <w:t>说明：未实测的波段以空值存储，不以零值填充。零是指数的合法取值，填充零值会使界面把「未实测」显示为「实测为零」，属数据失真。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（四）在监灾点影响分析的口径限制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A03A3A"/>
          <w:sz w:val="19"/>
        </w:rPr>
        <w:t>平台在监灾点数据只到省级范围，不含县级落区与影响半径。因此灾点影响分析只在省级粒度与承保数据求交，回答「该灾点所涉省份中我司有多少承保」，不输出县级受灾保单数。界面与说明中均已如实标注，不应据此推断具体县的受灾情况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（五）合规边界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影像底图接入的 Esri World Imagery 服务节点位于境外，仅限内部演示与方案验证，不得用于出单、定损、定价等对外业务出图。境内业务出图须改用天地图、腾讯位置服务或高德等具备测绘资质的境内服务商。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A03A3A"/>
          <w:sz w:val="19"/>
        </w:rPr>
        <w:t>平台当前为演示版本。除上述标注为真实的资产与实测反演数据外，其余承保、赔付、保费、精度指标均为模拟测算或行业公开口径引用，不代表公司真实经营数据，不构成业务承诺。</w:t>
      </w:r>
    </w:p>
    <w:p>
      <w:pPr>
        <w:spacing w:before="260" w:after="100"/>
      </w:pPr>
      <w:r>
        <w:rPr>
          <w:rFonts w:ascii="方正仿宋_GB2312" w:hAnsi="方正仿宋_GB2312" w:eastAsia="方正仿宋_GB2312"/>
          <w:b/>
          <w:color w:val="1A1A1A"/>
          <w:sz w:val="24"/>
        </w:rPr>
        <w:t>三、运行原理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（一）系统构成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是一套纯前端系统，由三层组成：数据层存放地理与业务数据资产；引擎层负责地图投影、图层渲染与遥感栅格反演；视图层实现八个标签页的交互与展示。三层之间以浏览器内的全局对象传递数据，无服务端参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247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层次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组成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职责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数据层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行政区边界（省市县乡村四级）、县级参照索引、卫星反演指数、业务台账、专题配置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提供空间与业务数据，按层级懒加载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引擎层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地图引擎、栅格引擎、双底图引擎、影像瓦片引擎、承保解析引擎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投影变换、要素绘制、栅格反演、瓦片调度、文件解析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视图层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八个标签页视图 + 应用路由 + 访问门禁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交互编排与界面呈现</w:t>
            </w:r>
          </w:p>
        </w:tc>
      </w:tr>
    </w:tbl>
    <w:p>
      <w:pPr>
        <w:spacing w:after="6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代码规模：视图层与引擎层共十三个脚本、约四十万字符；样式单文件；数据资产约三百八十兆，按省、按县拆分存放。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（二）数据如何按需加载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平台首屏只加载框架与必要数据，实测首屏 44 个请求、无任何外部网络请求，全部为本地资源。体积较大的数据资产按使用时机分批加载：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行政区边界按省加载。进入某省时，仅加载该省的市界数据；进入某市时，加载该省的县界与乡镇界。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县级参照索引（约 240KB）仅在首次进入「承保信息上传」时加载，且在打开该标签页时即预取，拖入文件后无需等待。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卫星反演指数（234KB）仅在进入县级视图时加载，全国视图不加载。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村界数据按县单独存放，进入某村时才请求对应文件。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（三）地图渲染原理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1. 坐标与投影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平台统一采用互联网地图服务（Web Mercator）投影，将经纬度转换为世界米制坐标，地球半径常数取 20037508.34 米。地图引擎维护一组变换参数——比例尺与平移量，在矢量图元的父容器上施加一次变换，实现缩放与平移；要素坐标一旦确定即不随视图变化重算，因此平移缩放流畅。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屏幕坐标与世界坐标互转关系为：屏幕横坐标 = 世界横坐标乘比例尺加平移量；屏幕纵坐标 = 平移量减世界纵坐标乘比例尺（纵轴向上为北）。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2. 要素绘制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行政区面、行政区线、灾点圈分别绘制在不同的图层组，图层顺序决定遮挡关系。业务描边层单独置于最上，确保县界、市界线与地名在遥感影像之上始终清晰可读。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要素的拾取（点击响应）依赖数据标记：绘制时若为要素写入标识与所属区划代码，点击时才能回溯到对应行政区。若绘制时漏写标识，面会正常显示但点击无响应，这是此类问题最常见的表现形式。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3. 遥感栅格反演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栅格引擎按当前视野逐像元计算专题值并着色。以县级视图为例：优先取该县的真实卫星反演网格（八个见方格网，每格为若干像元均值），按当前视野做双线性插值，因此缩放平移时数值连续过渡，不出现格块跳变；该县无实测数据时回退为按区划代码生成的稳定模拟值场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像元地面尺寸随层级变化：全国视图约 480 米，县级约 320 米，乡镇级约 60 米。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4. 卫星底图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底图采用免密钥的卫星影像瓦片服务，按需请求。瓦片层级由当前比例尺反推确定，而非直接使用视图缩放级的近似值——后者在大范围视图下会偏差十余级，导致数十张瓦片挤在屏幕中央一小块。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每块瓦片按自身投影宽度铺开并各向外扩一像素，以消除相邻瓦片之间的接缝（墨卡托投影的比例随纬度变化，用统一尺寸拼接必然出现横向黑缝）。瓦片挂载在独立的底图容器中，不随地图容器重建而丢失。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（四）承保数据处理流程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承保上传是平台数据处理链条最长的一条，完整流程六步：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文件读取。Excel 格式由浏览器原生解压能力解析压缩包与内嵌表格，不引入第三方库；CSV 格式自动识别编码。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表头定位。在前若干行中查找包含已知字段特征的行作为表头，跳过「XX分公司承保明细」这类说明行。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字段映射。按别名规则把十三类业务字段对应到原始列，识别结果可人工修正。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数值归一。面积、金额统一处理千分位、货币符号与「万」为单位的大写数字，日期序列号转换为标准日期格式。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县名匹配。去除行政区划后缀后匹配县级参照索引，并支持历史名称（如撤县设市前的旧名）；重名县需结合省份判定，无法唯一确定时不作猜测，改列入未匹配清单交由人工处理。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聚合与落点。按县聚合保单数、保费、面积、农户数，确定落点后生成空间分布。</w:t>
      </w:r>
    </w:p>
    <w:p>
      <w:pPr>
        <w:spacing w:after="40"/>
        <w:ind w:left="240"/>
      </w:pPr>
      <w:r>
        <w:rPr>
          <w:rFonts w:ascii="方正仿宋_GB2312" w:hAnsi="方正仿宋_GB2312" w:eastAsia="方正仿宋_GB2312"/>
          <w:b w:val="0"/>
          <w:color w:val="7A7A7A"/>
          <w:sz w:val="17"/>
        </w:rPr>
        <w:t>未匹配到县的记录不会被丢弃，也不会被随意归入邻近县，而是集中列入未匹配清单，避免污染统计结果。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（五）性能设计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平台在加载速度上做了四项处理，均经实测验证：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36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措施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做法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实测效果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首屏瘦身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大体积数据资产不随首屏加载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首屏 44 个请求，全部本地资源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按需加载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行政区界按省、县界按省、村界按县分别加载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首屏不加载县级与村级数据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预取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进入省界即预取该省县界与乡镇界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用户点击市时通常已就绪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超时兜底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全部动态加载设 4.5 秒超时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弱网下退出加载态而非永久等待</w:t>
            </w:r>
          </w:p>
        </w:tc>
      </w:tr>
    </w:tbl>
    <w:p>
      <w:pPr>
        <w:spacing w:after="6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超时兜底的必要性：平台部署在静态托管服务上，实测首次取一个 0.3MB 的边界文件耗时可达 27.9 秒（冷启动）。若加载无超时机制，网络异常时请求可能既不成功也不失败，界面将永久停留在加载提示且没有任何可点要素。设置超时后，超时会转入备用数据路径并如实提示原因。</w:t>
      </w:r>
    </w:p>
    <w:p>
      <w:pPr>
        <w:spacing w:before="160" w:after="60"/>
      </w:pPr>
      <w:r>
        <w:rPr>
          <w:rFonts w:ascii="方正仿宋_GB2312" w:hAnsi="方正仿宋_GB2312" w:eastAsia="方正仿宋_GB2312"/>
          <w:b/>
          <w:color w:val="1A1A1A"/>
          <w:sz w:val="21"/>
        </w:rPr>
        <w:t>（六）安全设计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1. 访问控制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前端设访问门禁，口令校验通过后写入会话存储，关闭标签页失效。此为使用范围控制，不构成身份鉴权。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2. 数据不出本机</w:t>
      </w:r>
    </w:p>
    <w:p>
      <w:pPr>
        <w:ind w:firstLine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平台无服务端，承保明细的解析、匹配、聚合、渲染全部在浏览器内完成。实测上传全过程的对外请求中，不含任何携带业务数据的请求。这是平台的架构特性带来的结果，不是通过设置实现的。</w:t>
      </w:r>
    </w:p>
    <w:p>
      <w:pPr>
        <w:spacing w:before="120" w:after="40"/>
        <w:ind w:left="180"/>
      </w:pPr>
      <w:r>
        <w:rPr>
          <w:rFonts w:ascii="方正仿宋_GB2312" w:hAnsi="方正仿宋_GB2312" w:eastAsia="方正仿宋_GB2312"/>
          <w:b/>
          <w:color w:val="1A1A1A"/>
          <w:sz w:val="19"/>
        </w:rPr>
        <w:t>3. 风险提示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「留存到本机」将数据写入浏览器本地存储，共享电脑上不应使用。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演示或对外展示前，须执行「清除本机数据」并清除浏览器缓存。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平台部署于公开静态托管，明细数据不应随包分发。</w:t>
      </w:r>
    </w:p>
    <w:p>
      <w:pPr>
        <w:ind w:left="380"/>
      </w:pPr>
      <w:r>
        <w:rPr>
          <w:rFonts w:ascii="方正仿宋_GB2312" w:hAnsi="方正仿宋_GB2312" w:eastAsia="方正仿宋_GB2312"/>
          <w:b w:val="0"/>
          <w:color w:val="1A1A1A"/>
          <w:sz w:val="19"/>
        </w:rPr>
        <w:t>· 境外底图节点不满足境内业务出图的测绘资质要求，正式使用前须替换为境内合规服务商。</w:t>
      </w:r>
    </w:p>
    <w:p>
      <w:pPr>
        <w:spacing w:before="260" w:after="100"/>
      </w:pPr>
      <w:r>
        <w:rPr>
          <w:rFonts w:ascii="方正仿宋_GB2312" w:hAnsi="方正仿宋_GB2312" w:eastAsia="方正仿宋_GB2312"/>
          <w:b/>
          <w:color w:val="1A1A1A"/>
          <w:sz w:val="24"/>
        </w:rPr>
        <w:t>四、维护要点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361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事项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/>
                <w:color w:val="1A1A1A"/>
                <w:sz w:val="18"/>
              </w:rPr>
              <w:t>要点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数据更新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行政边界依外部公开服务更新；卫星反演数据按时相批量构建；业务台账由业务部门提供，按基准日期标注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索引校验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县级参照索引变更后须做落点精度核验，以权威源的县级中心点逐县比对，偏差超阈值即拒收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省直辖县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仙桃、潜江、天门、神农架、济源及兵团各市为省直辖县级行政区，不随地级市分组，构建时须单独补齐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名称兼容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撤县设市、撤县设区后旧名仍长期出现在台账中，须维护历史名称别名表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center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改动后核验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方正仿宋_GB2312" w:hAnsi="方正仿宋_GB2312" w:eastAsia="方正仿宋_GB2312"/>
                <w:b w:val="0"/>
                <w:color w:val="1A1A1A"/>
                <w:sz w:val="18"/>
              </w:rPr>
              <w:t>任何改动后须回归六个以上省市的完整下钻链路，并确认弱网下不出现永久加载态</w:t>
            </w:r>
          </w:p>
        </w:tc>
      </w:tr>
    </w:tbl>
    <w:p>
      <w:pPr>
        <w:spacing w:after="120"/>
      </w:pPr>
      <w:r>
        <w:rPr>
          <w:rFonts w:ascii="方正仿宋_GB2312" w:hAnsi="方正仿宋_GB2312" w:eastAsia="方正仿宋_GB2312"/>
          <w:b w:val="0"/>
          <w:color w:val="1A1A1A"/>
          <w:sz w:val="12"/>
        </w:rPr>
      </w:r>
    </w:p>
    <w:p>
      <w:pPr>
        <w:spacing w:after="40"/>
        <w:ind w:left="240"/>
      </w:pPr>
      <w:r>
        <w:rPr>
          <w:rFonts w:ascii="方正仿宋_GB2312" w:hAnsi="方正仿宋_GB2312" w:eastAsia="方正仿宋_GB2312"/>
          <w:b w:val="0"/>
          <w:color w:val="7A7A7A"/>
          <w:sz w:val="17"/>
        </w:rPr>
        <w:t>本手册依据平台 2026 年 10 月 8 日实测状态编写。平台功能、数据范围与口径如有变更，应同步修订本手册。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60"/>
    </w:pPr>
    <w:rPr>
      <w:rFonts w:ascii="方正仿宋_GB2312" w:hAnsi="方正仿宋_GB2312" w:eastAsia="方正仿宋_GB2312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