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FangSong" w:hAnsi="FangSong" w:eastAsia="FangSong"/>
          <w:b/>
          <w:sz w:val="32"/>
        </w:rPr>
        <w:t>天气指数保险设计方法论</w:t>
      </w:r>
    </w:p>
    <w:p>
      <w:r>
        <w:rPr>
          <w:rFonts w:ascii="FangSong" w:hAnsi="FangSong" w:eastAsia="FangSong"/>
          <w:sz w:val="21"/>
        </w:rPr>
        <w:t>——数据来源与保险费率和赔付阈值的确定（含「不接国家站」近似策略）</w:t>
      </w:r>
    </w:p>
    <w:p>
      <w:r>
        <w:rPr>
          <w:rFonts w:ascii="FangSong" w:hAnsi="FangSong" w:eastAsia="FangSong"/>
          <w:sz w:val="21"/>
        </w:rPr>
        <w:t>阳光财险农险业务合伙人 · 内部设计辅助 · 测试版。本文所有费率/阈值以试点县历史数据标定、精算报备与监管批复为准。</w:t>
      </w:r>
    </w:p>
    <w:p>
      <w:r>
        <w:rPr>
          <w:rFonts w:ascii="FangSong" w:hAnsi="FangSong" w:eastAsia="FangSong"/>
          <w:b/>
          <w:sz w:val="26"/>
        </w:rPr>
        <w:t>一、气象数据来源（行业口径）</w:t>
      </w:r>
    </w:p>
    <w:p>
      <w:r>
        <w:rPr>
          <w:rFonts w:ascii="FangSong" w:hAnsi="FangSong" w:eastAsia="FangSong"/>
          <w:sz w:val="21"/>
        </w:rPr>
        <w:t>天气指数保险设计须以三类历史数据为基础（时维遥感《农业气象指数保险产品开发指南》）：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数据类型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权威来源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在设计中的用途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气象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国家气象局地面观测站（CIMISS / data.cma.cn，全国 2.4 万+站，严格质控）、格点再分析（ERA5）、卫星遥感反演（NDVI / 土壤水分 / 地表温度）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设计指数、标定阈值、逐年回测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产量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统计部门官方单产、农业农村部门调查、保险历史理赔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拟合「指数↔减产」关系、定纯费率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灾情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民政 / 农业农村部门、公司历史理赔记录</w:t>
            </w:r>
          </w:p>
        </w:tc>
        <w:tc>
          <w:tcPr>
            <w:tcW w:type="dxa" w:w="2880"/>
          </w:tcPr>
          <w:p>
            <w:r/>
            <w:r>
              <w:rPr>
                <w:rFonts w:ascii="FangSong" w:hAnsi="FangSong" w:eastAsia="FangSong"/>
                <w:sz w:val="19"/>
              </w:rPr>
              <w:t>验证指数与真实损失的一致性</w:t>
            </w:r>
          </w:p>
        </w:tc>
      </w:tr>
    </w:tbl>
    <w:p>
      <w:r>
        <w:rPr>
          <w:rFonts w:ascii="FangSong" w:hAnsi="FangSong" w:eastAsia="FangSong"/>
          <w:sz w:val="21"/>
        </w:rPr>
        <w:t>ERA5 的真实能力边界（决定其能否当终版）：</w:t>
      </w:r>
    </w:p>
    <w:p>
      <w:pPr>
        <w:pStyle w:val="ListBullet"/>
      </w:pPr>
      <w:r>
        <w:rPr>
          <w:rFonts w:ascii="FangSong" w:hAnsi="FangSong" w:eastAsia="FangSong"/>
          <w:sz w:val="21"/>
        </w:rPr>
        <w:t>优势：ECMWF ERA5 约 30km 网格、1940 年至今逐小时、物理一致无缺口，适合做初算、趋势与空间一致基准（Skaraz, 2025）。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局限（长三角 185 站 × 549 格点实证，MDPI 2026）：日降水相对偏差 RB 高估 +13.54%、RMSE 1.95mm，且对微量降水（&lt;1mm）显著高估，直接拉低 90 分位阈值、高估极端事件；温度 / 辐射较好，降水 / 风速偏差大。复杂地形区偏差更大，须降尺度（随机森林等 ML 把约 30km 降到 km 级，Taylor &amp; Francis 2023）。</w:t>
      </w:r>
    </w:p>
    <w:p>
      <w:r>
        <w:rPr>
          <w:rFonts w:ascii="FangSong" w:hAnsi="FangSong" w:eastAsia="FangSong"/>
          <w:sz w:val="21"/>
        </w:rPr>
        <w:t>结论：ERA5 只能做「初算 / 空间一致」，触发阈值与费率精算必须以国家站观测标定 + 降尺度。</w:t>
      </w:r>
    </w:p>
    <w:p>
      <w:r>
        <w:rPr>
          <w:rFonts w:ascii="FangSong" w:hAnsi="FangSong" w:eastAsia="FangSong"/>
          <w:sz w:val="21"/>
        </w:rPr>
        <w:t>平台现状：引擎二用 Open-Meteo / ERA5（约 25km）真实回测，注释已写明「精算报备须以试点县国家站 / 省气候中心观测标定」——口径正确，但实际计算只跑了 ERA5，未接 CIMISS、未做降尺度。这是第一处缺口。</w:t>
      </w:r>
    </w:p>
    <w:p>
      <w:r>
        <w:rPr>
          <w:rFonts w:ascii="FangSong" w:hAnsi="FangSong" w:eastAsia="FangSong"/>
          <w:b/>
          <w:sz w:val="26"/>
        </w:rPr>
        <w:t>二、赔付阈值（Strike）怎么定</w:t>
      </w:r>
    </w:p>
    <w:p>
      <w:r>
        <w:rPr>
          <w:rFonts w:ascii="FangSong" w:hAnsi="FangSong" w:eastAsia="FangSong"/>
          <w:sz w:val="21"/>
        </w:rPr>
        <w:t>阈值的本质：让「指数赔付」与「实际减产」对齐，用相关系数 R² 衡量对齐质量（R²≥0.35 商业可接受，Nature 2025 水电指数基准）。行业不是拍默认档，而是用统计拟合求出：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案例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指数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阈值标定方法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b/>
                <w:sz w:val="19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辽宁玉米（东北大学学报 2018）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年温 / 降水 / 日照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气象产量回归方程；设基准产量分水岭，指数超线即赔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拟合优度 R²=0.43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瓦房店葡萄连阴雨（农科院）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连阴雨指数 Lu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Lu 与减产率 K 回归 K=2.93Lu+4.19，定致灾临界值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Lu≥3d 启赔，分级赔付，纯费率 19.01%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沁县谷子（保险研究 2019）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5 个旱 / 暴雨指数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逐步调整指数异常阈值和产量损失阈值，寻找最大 R² 达到最优匹配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最优匹配后定触发值 + 赔付标准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碧螺春茶（中国农业气象 2026）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高低温综合指数 HLT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HLT 与相对气象产量回归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相关系数 0.946，定 6 级理赔，14 年平均赔付率 74.5%（保本微利）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德国冬小麦（PLOS ONE）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关键期累计降雨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分位数回归：strike = 逆推对应平均产量（或 90% 平均产量）的指数值，tick = 回归斜率</w:t>
            </w:r>
          </w:p>
        </w:tc>
        <w:tc>
          <w:tcPr>
            <w:tcW w:type="dxa" w:w="2160"/>
          </w:tcPr>
          <w:p>
            <w:r/>
            <w:r>
              <w:rPr>
                <w:rFonts w:ascii="FangSong" w:hAnsi="FangSong" w:eastAsia="FangSong"/>
                <w:sz w:val="19"/>
              </w:rPr>
              <w:t>—</w:t>
            </w:r>
          </w:p>
        </w:tc>
      </w:tr>
    </w:tbl>
    <w:p>
      <w:r>
        <w:rPr>
          <w:rFonts w:ascii="FangSong" w:hAnsi="FangSong" w:eastAsia="FangSong"/>
          <w:sz w:val="21"/>
        </w:rPr>
        <w:t>平台现状：阈值来自通用默认 DEFS（如暴雨 50/100mm、干旱累计 40/20/5mm）或【】占位，没有用单产回归做「最大 R² 最优匹配」。这是最大缺口——阈值没标定，费率再准也对不到真实损失。</w:t>
      </w:r>
    </w:p>
    <w:p>
      <w:r>
        <w:rPr>
          <w:rFonts w:ascii="FangSong" w:hAnsi="FangSong" w:eastAsia="FangSong"/>
          <w:b/>
          <w:sz w:val="26"/>
        </w:rPr>
        <w:t>三、保险费率怎么定</w:t>
      </w:r>
    </w:p>
    <w:p>
      <w:r>
        <w:rPr>
          <w:rFonts w:ascii="FangSong" w:hAnsi="FangSong" w:eastAsia="FangSong"/>
          <w:sz w:val="21"/>
        </w:rPr>
        <w:t>国际主流三法（Springer 2025 综述《Advancements in Weather Index Insurance》），平台采用第一种：</w:t>
      </w:r>
    </w:p>
    <w:p>
      <w:pPr>
        <w:pStyle w:val="ListBullet"/>
      </w:pPr>
      <w:r>
        <w:rPr>
          <w:rFonts w:ascii="FangSong" w:hAnsi="FangSong" w:eastAsia="FangSong"/>
          <w:sz w:val="21"/>
        </w:rPr>
        <w:t>历史 Burn Rate（HBR）：把触发条件套到历史气象序列，算逐年赔付率，纯费率 = 历史平均赔付率（= 期望损失）。简单，但需 ≥30 年、假设无趋势、尾部易低估。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指数分布拟合法：把指数 / 损失拟合 gamma / beta / lognormal / GEV 分布，模拟期望赔付。小样本友好、可纳入未发生极端。猕猴桃用三维 Copula 纯费率 10.07%；碧螺春用 GEV 纯费率 4.63%。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Black-Scholes 期权定价：把指数保险当看跌期权，需指数服从 lognormal，限制较多。</w:t>
      </w:r>
    </w:p>
    <w:p>
      <w:r>
        <w:rPr>
          <w:rFonts w:ascii="FangSong" w:hAnsi="FangSong" w:eastAsia="FangSong"/>
          <w:sz w:val="21"/>
        </w:rPr>
        <w:t>费率构成（标准精算，beekeeper 参数保险案例，Springer 2025）：</w:t>
      </w:r>
    </w:p>
    <w:p>
      <w:r>
        <w:rPr>
          <w:rFonts w:ascii="FangSong" w:hAnsi="FangSong" w:eastAsia="FangSong"/>
          <w:sz w:val="21"/>
        </w:rPr>
        <w:t>公平纯费率 pf = E[赔付]；纯保费 PP = pf + 安全附加；毛保费 PG = (pf + 安全附加) ÷ (1 − 费用率 − 佣金率 − 税率)。</w:t>
      </w:r>
    </w:p>
    <w:p>
      <w:r>
        <w:rPr>
          <w:rFonts w:ascii="FangSong" w:hAnsi="FangSong" w:eastAsia="FangSong"/>
          <w:sz w:val="21"/>
        </w:rPr>
        <w:t>平台现状：纯费率 = 回测均值（HBR 法，方法正确），毛费率 = 纯费率 × (1 + 15% 费用 + 10% 风险) = 纯费率 × 1.25，算术等价于上述公式（费用佣金税≈25% 时）；再叠加 Bootstrap 区间 + ULR 70%–75% 校准带——费率计算框架与行业一致，无方向性错误。</w:t>
      </w:r>
    </w:p>
    <w:p>
      <w:r>
        <w:rPr>
          <w:rFonts w:ascii="FangSong" w:hAnsi="FangSong" w:eastAsia="FangSong"/>
          <w:sz w:val="21"/>
        </w:rPr>
        <w:t>但有两处精度短板：① HBR 假设无趋势，气候变暖下历史均值可能低估未来损失，平台未做趋势检验（Mann-Kendall）+ Monte Carlo 补极端尾部；② 纯费率基于「指数赔付率」而非「损失率」，绕过了「指数↔产量相关性」环节，HBR 期望赔付可能系统性偏离真实期望损失（基差未校正）。</w:t>
      </w:r>
    </w:p>
    <w:p>
      <w:r>
        <w:rPr>
          <w:rFonts w:ascii="FangSong" w:hAnsi="FangSong" w:eastAsia="FangSong"/>
          <w:b/>
          <w:sz w:val="26"/>
        </w:rPr>
        <w:t>四、不接国家站时，怎样最贴近站点标定（核心）</w:t>
      </w:r>
    </w:p>
    <w:p>
      <w:r>
        <w:rPr>
          <w:rFonts w:ascii="FangSong" w:hAnsi="FangSong" w:eastAsia="FangSong"/>
          <w:sz w:val="21"/>
        </w:rPr>
        <w:t>当无法接入 CIMISS 国家站 / 省气候中心（密钥、内网、许可等限制）时，用以下三条近似手段，使方案尽量贴近「站点标定」结果。三者均来自公开文献，可溯源、可调：</w:t>
      </w:r>
    </w:p>
    <w:p>
      <w:pPr>
        <w:pStyle w:val="ListBullet"/>
      </w:pPr>
      <w:r>
        <w:rPr>
          <w:rFonts w:ascii="FangSong" w:hAnsi="FangSong" w:eastAsia="FangSong"/>
          <w:sz w:val="21"/>
        </w:rPr>
        <w:t>① 县域多格点均值：取 centroid + 4 个 ±0.25° 偏移格点逐日序列取均值，模拟「县域多站平均」，降低单点采样误差（近似站点网均值）。比单点更接近县域真实气候。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② 降水偏差校正：ERA5 日降水 RB 高估 +13.54%、微量 &lt;1mm 显著高估（长三角实证）→ 剔除 trace(&lt;1mm) 日，并乘区域修正系数（长三角文献可填 0.88 校正）。温度用高程直减率（约 6.5℃/km）按站点高程订正。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③ 指数-产量 R² 最优阈值：若用户提供历史单产，做指数→减产率回归，扫描候选 strike 取 R² 最大者（对应沁县谷子「最大 R² 最优匹配」法），直接给出数据驱动的阈值初值；同时输出分位阈值（P5/P10/P25/中位）作为可复现锚。</w:t>
      </w:r>
    </w:p>
    <w:p>
      <w:r>
        <w:rPr>
          <w:rFonts w:ascii="FangSong" w:hAnsi="FangSong" w:eastAsia="FangSong"/>
          <w:sz w:val="21"/>
        </w:rPr>
        <w:t>配套设计选择（不接站时更稳）：优先「累计型」指数（干旱累计降水、连阴雨累计日数）而非单日极端（暴雨单日、大风单日）——月 / 累计尺度与站点相关更高（MDPI：月总量 CC=0.966 vs 日 0.943）；坚持县域尺度平滑局地差异；在不确定时扩大 Bootstrap 区间并明确标注「未接国家站·近似标定，须站点验证」。</w:t>
      </w:r>
    </w:p>
    <w:p>
      <w:r>
        <w:rPr>
          <w:rFonts w:ascii="FangSong" w:hAnsi="FangSong" w:eastAsia="FangSong"/>
          <w:sz w:val="21"/>
        </w:rPr>
        <w:t>平台落地：引擎二新增「无站点近似标定」开关（县域多格点均值 ERA5 5 点 + 降水偏差校正因子输入框）+ 历史单产输入（CSV），回测后输出「指数-产量 R²、达标判定（≥0.35）、最大 R² 最优阈值、分位阈值建议」基差校验块。</w:t>
      </w:r>
    </w:p>
    <w:p>
      <w:r>
        <w:rPr>
          <w:rFonts w:ascii="FangSong" w:hAnsi="FangSong" w:eastAsia="FangSong"/>
          <w:b/>
          <w:sz w:val="26"/>
        </w:rPr>
        <w:t>五、结论与必补三处</w:t>
      </w:r>
    </w:p>
    <w:p>
      <w:r>
        <w:rPr>
          <w:rFonts w:ascii="FangSong" w:hAnsi="FangSong" w:eastAsia="FangSong"/>
          <w:sz w:val="21"/>
        </w:rPr>
        <w:t>平台方法论框架与行业一致、数据可溯源、不编造；但「算得准」卡在三个未闭环环节：</w:t>
      </w:r>
    </w:p>
    <w:p>
      <w:pPr>
        <w:pStyle w:val="ListBullet"/>
      </w:pPr>
      <w:r>
        <w:rPr>
          <w:rFonts w:ascii="FangSong" w:hAnsi="FangSong" w:eastAsia="FangSong"/>
          <w:sz w:val="21"/>
        </w:rPr>
        <w:t>阈值未用单产回归做最大 R² 标定（已在本版以「无站点近似标定」模块实现，仍需真实单产输入）。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纯费率未过指数-产量相关性校正（基差实测缺失；本版新增 R² 校验输出，缺单产时仅给分位锚）。</w:t>
      </w:r>
    </w:p>
    <w:p>
      <w:pPr>
        <w:pStyle w:val="ListBullet"/>
      </w:pPr>
      <w:r>
        <w:rPr>
          <w:rFonts w:ascii="FangSong" w:hAnsi="FangSong" w:eastAsia="FangSong"/>
          <w:sz w:val="21"/>
        </w:rPr>
        <w:t>数据源仅 ERA5 未接国家站 + 降尺度（本版以多格点均值 + 文献偏差校正近似，明确标注近似口径）。</w:t>
      </w:r>
    </w:p>
    <w:p>
      <w:r>
        <w:rPr>
          <w:rFonts w:ascii="FangSong" w:hAnsi="FangSong" w:eastAsia="FangSong"/>
          <w:sz w:val="21"/>
        </w:rPr>
        <w:t>落地优先级：先把最大 R² 阈值标定 + R² 校验用起来（需喂入试点县历史单产）；同步把数据源切到「ERA5 初算 + CIMISS 站点标定」合规口径，作为正式报备路径。</w:t>
      </w:r>
    </w:p>
    <w:p>
      <w:r>
        <w:rPr>
          <w:rFonts w:ascii="FangSong" w:hAnsi="FangSong" w:eastAsia="FangSong"/>
          <w:b/>
          <w:sz w:val="26"/>
        </w:rPr>
        <w:t>来源</w:t>
      </w:r>
    </w:p>
    <w:p>
      <w:pPr>
        <w:pStyle w:val="ListBullet"/>
      </w:pPr>
      <w:r>
        <w:rPr>
          <w:rFonts w:ascii="FangSong" w:hAnsi="FangSong" w:eastAsia="FangSong"/>
          <w:sz w:val="21"/>
        </w:rPr>
        <w:t>时维遥感，《农业气象指数保险产品开发指南》（三类数据、多指标综合指数、基差控制四法）</w:t>
      </w:r>
    </w:p>
    <w:p>
      <w:pPr>
        <w:pStyle w:val="ListBullet"/>
      </w:pPr>
      <w:r>
        <w:rPr>
          <w:rFonts w:ascii="FangSong" w:hAnsi="FangSong" w:eastAsia="FangSong"/>
          <w:sz w:val="21"/>
        </w:rPr>
        <w:t>东北大学学报（社会科学版），2018，《农业气象指数保险研究与设计——基于辽宁省玉米的面板数据》，R²=0.43</w:t>
      </w:r>
    </w:p>
    <w:p>
      <w:pPr>
        <w:pStyle w:val="ListBullet"/>
      </w:pPr>
      <w:r>
        <w:rPr>
          <w:rFonts w:ascii="FangSong" w:hAnsi="FangSong" w:eastAsia="FangSong"/>
          <w:sz w:val="21"/>
        </w:rPr>
        <w:t>中国农业科学院机构知识库，瓦房店鲜食葡萄连阴雨天气指数保险设计，K=2.93Lu+4.19，纯费率 19.01%</w:t>
      </w:r>
    </w:p>
    <w:p>
      <w:pPr>
        <w:pStyle w:val="ListBullet"/>
      </w:pPr>
      <w:r>
        <w:rPr>
          <w:rFonts w:ascii="FangSong" w:hAnsi="FangSong" w:eastAsia="FangSong"/>
          <w:sz w:val="21"/>
        </w:rPr>
        <w:t>《保险研究》2019，王月琴等《山西沁县谷子综合天气指数保险研究》，最大 R² 最优匹配</w:t>
      </w:r>
    </w:p>
    <w:p>
      <w:pPr>
        <w:pStyle w:val="ListBullet"/>
      </w:pPr>
      <w:r>
        <w:rPr>
          <w:rFonts w:ascii="FangSong" w:hAnsi="FangSong" w:eastAsia="FangSong"/>
          <w:sz w:val="21"/>
        </w:rPr>
        <w:t>《中国农业气象》2026，洞庭碧螺春高低温综合气象指数保险，HLT 相关系数 0.946，纯费率 4.63%，14 年平均赔付率 74.5%</w:t>
      </w:r>
    </w:p>
    <w:p>
      <w:pPr>
        <w:pStyle w:val="ListBullet"/>
      </w:pPr>
      <w:r>
        <w:rPr>
          <w:rFonts w:ascii="FangSong" w:hAnsi="FangSong" w:eastAsia="FangSong"/>
          <w:sz w:val="21"/>
        </w:rPr>
        <w:t>猕猴桃高温干旱复合天气指数保险（三维 Copula），纯费率 10.07%</w:t>
      </w:r>
    </w:p>
    <w:p>
      <w:pPr>
        <w:pStyle w:val="ListBullet"/>
      </w:pPr>
      <w:r>
        <w:rPr>
          <w:rFonts w:ascii="FangSong" w:hAnsi="FangSong" w:eastAsia="FangSong"/>
          <w:sz w:val="21"/>
        </w:rPr>
        <w:t>Springer 2025, Advances in Weather Index Insurance: A Review of Data-Driven Approaches（HBR / 分布拟合 / BS 三法，≥30 年）</w:t>
      </w:r>
    </w:p>
    <w:p>
      <w:pPr>
        <w:pStyle w:val="ListBullet"/>
      </w:pPr>
      <w:r>
        <w:rPr>
          <w:rFonts w:ascii="FangSong" w:hAnsi="FangSong" w:eastAsia="FangSong"/>
          <w:sz w:val="21"/>
        </w:rPr>
        <w:t>NHESS 2023, Design and evaluation of weather index insurance（burn rate, strike K, Wang transform）</w:t>
      </w:r>
    </w:p>
    <w:p>
      <w:pPr>
        <w:pStyle w:val="ListBullet"/>
      </w:pPr>
      <w:r>
        <w:rPr>
          <w:rFonts w:ascii="FangSong" w:hAnsi="FangSong" w:eastAsia="FangSong"/>
          <w:sz w:val="21"/>
        </w:rPr>
        <w:t>PLOS ONE，德国冬小麦天气指数保险，strike=逆推对应平均产量，分位数回归 tick，bootstrap 1e4</w:t>
      </w:r>
    </w:p>
    <w:p>
      <w:pPr>
        <w:pStyle w:val="ListBullet"/>
      </w:pPr>
      <w:r>
        <w:rPr>
          <w:rFonts w:ascii="FangSong" w:hAnsi="FangSong" w:eastAsia="FangSong"/>
          <w:sz w:val="21"/>
        </w:rPr>
        <w:t>MDPI Atmosphere 2026, Performance Evaluation of ERA5 Extreme Precipitation in the Yangtze River Delta（RB+13.54%, RMSE 1.95mm, 微量高估）</w:t>
      </w:r>
    </w:p>
    <w:p>
      <w:pPr>
        <w:pStyle w:val="ListBullet"/>
      </w:pPr>
      <w:r>
        <w:rPr>
          <w:rFonts w:ascii="FangSong" w:hAnsi="FangSong" w:eastAsia="FangSong"/>
          <w:sz w:val="21"/>
        </w:rPr>
        <w:t>Taylor &amp; Francis 2023, Spatially downscaling gridded climate data — a machine learning approach（ERA5 ~30km 随机森林降尺度）</w:t>
      </w:r>
    </w:p>
    <w:p>
      <w:pPr>
        <w:pStyle w:val="ListBullet"/>
      </w:pPr>
      <w:r>
        <w:rPr>
          <w:rFonts w:ascii="FangSong" w:hAnsi="FangSong" w:eastAsia="FangSong"/>
          <w:sz w:val="21"/>
        </w:rPr>
        <w:t>Skaraz Data 2025, ERA5 Is Reshaping Climate Risk（ERA5 31km, 1940 至今, 一致性）</w:t>
      </w:r>
    </w:p>
    <w:p>
      <w:pPr>
        <w:pStyle w:val="ListBullet"/>
      </w:pPr>
      <w:r>
        <w:rPr>
          <w:rFonts w:ascii="FangSong" w:hAnsi="FangSong" w:eastAsia="FangSong"/>
          <w:sz w:val="21"/>
        </w:rPr>
        <w:t>Nature 2025, 水电指数保险，R²≥0.35 商业可接受基准</w:t>
      </w:r>
    </w:p>
    <w:p>
      <w:pPr>
        <w:pStyle w:val="ListBullet"/>
      </w:pPr>
      <w:r>
        <w:rPr>
          <w:rFonts w:ascii="FangSong" w:hAnsi="FangSong" w:eastAsia="FangSong"/>
          <w:sz w:val="21"/>
        </w:rPr>
        <w:t>Springer 2025, A parametric insurance policy for beekeepers（费率构成 pg=(pf+ls)/(1−(le+lc+tax))）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