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FF6A00"/>
          <w:sz w:val="22"/>
          <w:szCs w:val="22"/>
        </w:rPr>
        <w:t xml:space="preserve">HIREX</w:t>
      </w:r>
    </w:p>
    <w:p>
      <w:pPr>
        <w:pStyle w:val="Title"/>
      </w:pPr>
      <w:r>
        <w:t xml:space="preserve">Стиль комунікації</w:t>
      </w:r>
    </w:p>
    <w:p>
      <w:pPr>
        <w:spacing w:after="80"/>
      </w:pPr>
      <w:r>
        <w:rPr>
          <w:color w:val="595959"/>
          <w:sz w:val="24"/>
          <w:szCs w:val="24"/>
        </w:rPr>
        <w:t xml:space="preserve">Tone of voice, словник, стиль для каналів, приклади «погано → добре»</w:t>
      </w:r>
    </w:p>
    <w:p>
      <w:pPr>
        <w:pBdr>
          <w:bottom w:val="single" w:color="0D0D0D" w:sz="8" w:space="6"/>
        </w:pBdr>
        <w:spacing w:after="120"/>
      </w:pPr>
      <w:r>
        <w:rPr>
          <w:color w:val="595959"/>
          <w:sz w:val="18"/>
          <w:szCs w:val="18"/>
        </w:rPr>
        <w:t xml:space="preserve">Підготовлено 11.08.2026 · Внутрішній робочий документ для команди HireX · Мова бренду: українська</w:t>
      </w:r>
    </w:p>
    <w:p>
      <w:pPr>
        <w:spacing w:after="240"/>
      </w:pPr>
      <w:r>
        <w:rPr>
          <w:i/>
          <w:iCs/>
          <w:color w:val="595959"/>
          <w:sz w:val="17"/>
          <w:szCs w:val="17"/>
        </w:rPr>
        <w:t xml:space="preserve">Умовні позначення джерел: </w:t>
      </w:r>
      <w:r>
        <w:rPr>
          <w:i/>
          <w:iCs/>
          <w:color w:val="595959"/>
          <w:sz w:val="17"/>
          <w:szCs w:val="17"/>
        </w:rPr>
        <w:t xml:space="preserve">Файл 1 — підсумковий звіт «summary_hirex (Claude)»; Файл 2 — «HIREX Мастер-досьє проекту»; Проект — документи проекту HireX у Claude; Папка — файли з папки «HIREX (GPT)» на комп'ютері власника. Дані наведено станом на серпень 2026; цифри без джерела не використовуються.</w:t>
      </w:r>
    </w:p>
    <w:p>
      <w:pPr>
        <w:pStyle w:val="Heading1"/>
      </w:pPr>
      <w:r>
        <w:t xml:space="preserve">1. Tone of voice: п'ять правил</w:t>
      </w:r>
    </w:p>
    <w:p>
      <w:pPr>
        <w:pBdr>
          <w:left w:val="single" w:color="0D0D0D" w:sz="24" w:space="8"/>
        </w:pBdr>
        <w:spacing w:after="200" w:before="120"/>
        <w:ind w:left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Мова операційного директора, а не HR. Наш читач — людина в стані «траншейного менеджменту»: офісної мови вона не переносить.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Іменники конкретні, дієслова фізичні. </w:t>
      </w:r>
      <w:r>
        <w:t xml:space="preserve">Не «оптимізуємо процес підбору», а «закриваємо зміну». Не «надаємо рішення», а «привозимо людей, які виходять на роботу».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Час — у днях і місяцях, не в «швидко». </w:t>
      </w:r>
      <w:r>
        <w:t xml:space="preserve">«У середньому 3 місяці, максимум 4 — у договорі», а не «оперативно». Публічно — лише загальний строк, без розбивки етапів (рішення власника, 11.08.2026).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Цифри замість прикметників. </w:t>
      </w:r>
      <w:r>
        <w:t xml:space="preserve">Не «надійно», а «одна гарантійна заміна, умови названі». Кожна публічна цифра — або договірне зобов'язання, або зі сноскою про базу. Цифру без бази не публікуємо.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Різкість дозволена. </w:t>
      </w:r>
      <w:r>
        <w:t xml:space="preserve">«Вам не потрібна ще одна база резюме. Вам потрібно, щоб у понеділок на лінії стояло тридцять людей.» Різкість — до проблеми, ніколи до людей чи держави.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Біль називається раніше рішення. </w:t>
      </w:r>
      <w:r>
        <w:t xml:space="preserve">«Проблема не в тому, що ви не вмієте наймати іноземців. Проблема в тому, що ви не знаєте, де помилитесь.» Жодних обіцянок, які не можемо виконати: на ринку, де всі наобіцяли, невиконана обіцянка коштує дорожче за нездійснений продаж.</w:t>
      </w:r>
    </w:p>
    <w:p>
      <w:pPr>
        <w:spacing w:after="200" w:before="60"/>
      </w:pPr>
      <w:r>
        <w:rPr>
          <w:i/>
          <w:iCs/>
          <w:color w:val="595959"/>
          <w:sz w:val="17"/>
          <w:szCs w:val="17"/>
        </w:rPr>
        <w:t xml:space="preserve">Джерела: Платформа, розділ 7 (Проект); Файл 1, розділи 20, 22; Файл 2, розділ 22.</w:t>
      </w:r>
    </w:p>
    <w:p>
      <w:pPr>
        <w:pStyle w:val="Heading1"/>
      </w:pPr>
      <w:r>
        <w:t xml:space="preserve">2. Словник</w:t>
      </w:r>
    </w:p>
    <w:p>
      <w:pPr>
        <w:pStyle w:val="Heading2"/>
      </w:pPr>
      <w:r>
        <w:t xml:space="preserve">2.1. Як говоримо</w:t>
      </w:r>
    </w:p>
    <w:p>
      <w:pPr>
        <w:spacing w:after="120" w:line="276"/>
      </w:pPr>
      <w:r>
        <w:t xml:space="preserve">зміна · вихід на зміну · укомплектованість · безперервність · простій · строк · етап · звіт · контракт · штат · бригада · дозвіл на роботу · доїхав · вийшов · залишився · підприємство · працівники · контроль · прозорість · результат</w:t>
      </w:r>
    </w:p>
    <w:p>
      <w:pPr>
        <w:pStyle w:val="Heading2"/>
      </w:pPr>
      <w:r>
        <w:t xml:space="preserve">2.2. Як не говоримо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300"/>
        <w:gridCol w:w="3200"/>
      </w:tblGrid>
      <w:tr>
        <w:trPr>
          <w:tblHeader/>
        </w:trPr>
        <w:tc>
          <w:tcPr>
            <w:tcW w:type="dxa" w:w="3100"/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Стоп-слово / тема</w:t>
            </w:r>
          </w:p>
        </w:tc>
        <w:tc>
          <w:tcPr>
            <w:tcW w:type="dxa" w:w="3300"/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Чому</w:t>
            </w:r>
          </w:p>
        </w:tc>
        <w:tc>
          <w:tcPr>
            <w:tcW w:type="dxa" w:w="3200"/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Чим замінюємо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таланти, синергія, HR-експертиза, комплексний підхід, інноваційний, людський капітал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Мова HR-директора; наш ЛПР її не переносить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Мова зміни і строку (розділ 2.1)</w:t>
            </w:r>
          </w:p>
        </w:tc>
      </w:tr>
      <w:tr>
        <w:tc>
          <w:tcPr>
            <w:tcW w:type="dxa" w:w="3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«дешева робоча сила», «дешевше за українців»</w:t>
            </w:r>
          </w:p>
        </w:tc>
        <w:tc>
          <w:tcPr>
            <w:tcW w:type="dxa" w:w="3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Стоп-тема за дослідженнями; етичний і репутаційний ризик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«Прогнозований і стабільний ФОП», «фіксована вартість»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«мігранти» без контексту, «біженці»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Знижують конверсію, зміщують рамку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«іноземні працівники», «контрактні працівники»</w:t>
            </w:r>
          </w:p>
        </w:tc>
      </w:tr>
      <w:tr>
        <w:tc>
          <w:tcPr>
            <w:tcW w:type="dxa" w:w="3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«ТЦК забирає ваших людей», «їх не заберуть», негатив про державу/мобілізованих</w:t>
            </w:r>
          </w:p>
        </w:tc>
        <w:tc>
          <w:tcPr>
            <w:tcW w:type="dxa" w:w="3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Пряма заборона власника (питання 75)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«Працівник не вибуває з графіка»; нейтральне «не підлягає мобілізації» як характеристика стабільності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«замінимо українців», «нарешті стабільні кадри замість…»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Токсична рамка; перший гучний матеріал у ЗМІ ляже в того, хто так говорив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«Ми не замінюємо українців. Ми закриваємо вакансії, на які вже рік немає відгуків»</w:t>
            </w:r>
          </w:p>
        </w:tc>
      </w:tr>
      <w:tr>
        <w:tc>
          <w:tcPr>
            <w:tcW w:type="dxa" w:w="3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«безпека», «ризики», «обстріли» в рекламних заголовках</w:t>
            </w:r>
          </w:p>
        </w:tc>
        <w:tc>
          <w:tcPr>
            <w:tcW w:type="dxa" w:w="3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Стоп-тема за дослідженням аудиторії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Тема розкривається протоколом у КП, FAQ, переговорах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«складна процедура» без продовження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Підсилює страх — головний бар'єр ринку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«…але ми беремо дозволи, документи і логістику на себе»</w:t>
            </w:r>
          </w:p>
        </w:tc>
      </w:tr>
      <w:tr>
        <w:tc>
          <w:tcPr>
            <w:tcW w:type="dxa" w:w="3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«без ризиків», «гарантуємо візу», «за 30 днів»</w:t>
            </w:r>
          </w:p>
        </w:tc>
        <w:tc>
          <w:tcPr>
            <w:tcW w:type="dxa" w:w="3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Обіцянки, які фізично не виконуються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Чесний строк + гарантія заміни з названими умовами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ПДВ у будь-якому вигляді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Рішення власника (11.08.2026): про ПДВ не говоримо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Ціни публікуються без коментарів про податки; питання — на етапі договору</w:t>
            </w:r>
          </w:p>
        </w:tc>
      </w:tr>
      <w:tr>
        <w:tc>
          <w:tcPr>
            <w:tcW w:type="dxa" w:w="3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DEI-риторика, соціальна етика як головна тема</w:t>
            </w:r>
          </w:p>
        </w:tc>
        <w:tc>
          <w:tcPr>
            <w:tcW w:type="dxa" w:w="3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 українському контексті 2026 читається як насмішка; рішення власника — чесність видно в договорі, а не в деклараціях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Прозорі умови, названі органи, папка документів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spacing w:after="200" w:before="60"/>
      </w:pPr>
      <w:r>
        <w:rPr>
          <w:i/>
          <w:iCs/>
          <w:color w:val="595959"/>
          <w:sz w:val="17"/>
          <w:szCs w:val="17"/>
        </w:rPr>
        <w:t xml:space="preserve">Джерела: Платформа, розділ 7; бриф-97, питання 75–77; дослідження B2B (Файл 1, розділи 12.7, 22); рішення власника 10–11.08.2026.</w:t>
      </w:r>
    </w:p>
    <w:p>
      <w:pPr>
        <w:pStyle w:val="Heading1"/>
      </w:pPr>
      <w:r>
        <w:t xml:space="preserve">3. Лексика клієнта — використовуємо в текстах</w:t>
      </w:r>
    </w:p>
    <w:p>
      <w:pPr>
        <w:spacing w:after="120" w:line="276"/>
      </w:pPr>
      <w:r>
        <w:t xml:space="preserve">Дослівні формули ЛПР із досліджень — готовий матеріал для заголовків, лідів і креативів: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Про дефіцит: </w:t>
      </w:r>
      <w:r>
        <w:rPr>
          <w:i/>
          <w:iCs/>
        </w:rPr>
        <w:t xml:space="preserve">«Людей немає. Взагалі. Ринок порожній» · «Я вже рік шукаю зварювальника» · «Вакансія відкрита по 6–9 місяців» · «На резюме вже ніхто не відповідає — вони самі вибирають»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Про зупинку: </w:t>
      </w:r>
      <w:r>
        <w:rPr>
          <w:i/>
          <w:iCs/>
        </w:rPr>
        <w:t xml:space="preserve">«Зміна не виходить — лінія стоїть» · «Не можемо виконати контракт — немає людей» · «Відмовляємось від замовлень» · «Комбайн за $300 тисяч стоїть під забором»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Про зарплати: </w:t>
      </w:r>
      <w:r>
        <w:rPr>
          <w:i/>
          <w:iCs/>
        </w:rPr>
        <w:t xml:space="preserve">«Зарплати вже рівні польській, а люди все одно не йдуть» · «Кандидат проводить тендер серед 10 компаній»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Ключова фраза від першої особи: </w:t>
      </w:r>
      <w:r>
        <w:rPr>
          <w:i/>
          <w:iCs/>
        </w:rPr>
        <w:t xml:space="preserve">«Я хочу закрити вакансію раз і надовго»</w:t>
      </w:r>
      <w:r>
        <w:t xml:space="preserve"> — єдина справжня клієнтська формула бажаного результату; будувати від неї.</w:t>
      </w:r>
    </w:p>
    <w:p>
      <w:pPr>
        <w:spacing w:after="200" w:before="60"/>
      </w:pPr>
      <w:r>
        <w:rPr>
          <w:i/>
          <w:iCs/>
          <w:color w:val="595959"/>
          <w:sz w:val="17"/>
          <w:szCs w:val="17"/>
        </w:rPr>
        <w:t xml:space="preserve">Джерела: Файл 1, розділ 12.9 (B2B-дослідження, Портрет ЛПР).</w:t>
      </w:r>
    </w:p>
    <w:p>
      <w:pPr>
        <w:pStyle w:val="Heading1"/>
      </w:pPr>
      <w:r>
        <w:t xml:space="preserve">4. Стиль для каналів</w:t>
      </w:r>
    </w:p>
    <w:p>
      <w:pPr>
        <w:pStyle w:val="Heading2"/>
      </w:pPr>
      <w:r>
        <w:t xml:space="preserve">4.1. Комерційна пропозиція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Структура: біль словами клієнта → що робимо → чим не є → строк → гроші повністю (сітка, що входить, що не входить, 4×25%) → відповідальність (гарантія, супровід) → незручні питання (протокол тривог, FAQ) → дія («Старт-3», контакти, 30 хвилин).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Тон: договірний. Кожна теза — як пункт договору, а не рекламна фраза. Закриття цінового блоку: «Це весь перелік. Інших рахунків не буде.»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Персоналізація обов'язкова: назва компанії, дата, ім'я відповідального менеджера. Строк дії пропозиції — 14 днів.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Що не пишемо: розбивку строків етапів (лише загальний строк), ПДВ, тему авіаквитка (один нейтральний рядок у переліку «що не входить»), подробиці партнерської структури.</w:t>
      </w:r>
    </w:p>
    <w:p>
      <w:pPr>
        <w:pStyle w:val="Heading2"/>
      </w:pPr>
      <w:r>
        <w:t xml:space="preserve">4.2. Сайт / лендінг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Перший екран: заголовок (питання відкрите: direct hire чи Big idea) + три числа (від 3 осіб · у середньому 3 місяці · ціна від €1 000) + форма з полем ЄДРПОУ.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Лід-магніт — калькулятор вартості незакритої зміни, без email-гейта на першому розрахунку.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Обов'язково: прямий телефон та ім'я відповідального, норма реакції 30 хвилин, фото/відео реального процесу (не сток).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SEO-сторінки: під галузі, під країни підбору, під документи (дозвіл на роботу, віза D, посвідка) — інформаційним тоном без продажного тиску.</w:t>
      </w:r>
    </w:p>
    <w:p>
      <w:pPr>
        <w:pStyle w:val="Heading2"/>
      </w:pPr>
      <w:r>
        <w:t xml:space="preserve">4.3. Переговори і продаж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Роль продавця — операційний консультант, не «менеджер із продажу»: спочатку кваліфікація (потреба, строк, зарплата, житло, регіон — 15 хвилин), потім розрахунок, потім КП.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Заперечення знімаємо картою з документа «Позиціонування», розділ 8. Контрпитання замість тиску: «Коли вам потрібні люди на зміні? Тоді заявку треба подавати зараз.»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Незручні теми (тривоги, втечі, перевірки) продавець піднімає сам, першим — це головний прийом довіри на цьому ринку.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Не обіцяємо нічого поза договором; на питання без відповіді — «зафіксую і повернуся з точною відповіддю», а не імпровізація.</w:t>
      </w:r>
    </w:p>
    <w:p>
      <w:pPr>
        <w:pStyle w:val="Heading2"/>
      </w:pPr>
      <w:r>
        <w:t xml:space="preserve">4.4. Соцмережі та контент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Ядро контенту — операційне відео: підбір у країні походження, інтерв'ю, аеропорт Молдови, маршрут, перший день на підприємстві. Цього не робить ніхто на ринку (дозвіл на зйомку є).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PR-модель «двоповерхова» (прийом Fillin): експерт коментує ринок у національних ЗМІ (Latifundist, AgroPortal, RAU, Економічна правда) — бренд збирає ліди на лендінгу.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LinkedIn власника/обличчя бренду: аналітика ринку, розбори процесу, без продажного тону. Найсильніший канал — «сарафанне радіо»: кожен пост має бути тим, що ЛПР перешле колезі.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Заборонено в рекламних креативах: обстріли/безпека, негатив про мобілізацію, «дешевше за українців», порівняння з конкурентами за назвами.</w:t>
      </w:r>
    </w:p>
    <w:p>
      <w:pPr>
        <w:spacing w:after="200" w:before="60"/>
      </w:pPr>
      <w:r>
        <w:rPr>
          <w:i/>
          <w:iCs/>
          <w:color w:val="595959"/>
          <w:sz w:val="17"/>
          <w:szCs w:val="17"/>
        </w:rPr>
        <w:t xml:space="preserve">Джерела: Платформа, розділи 7, 13 (Проект); Файл 1, розділи 24, 26; рішення власника 10–11.08.2026; референси креативів — форма 17.06.2026.</w:t>
      </w:r>
    </w:p>
    <w:p>
      <w:pPr>
        <w:pStyle w:val="Heading1"/>
      </w:pPr>
      <w:r>
        <w:t xml:space="preserve">5. Приклади «погано → добре»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3000"/>
      </w:tblGrid>
      <w:tr>
        <w:trPr>
          <w:tblHeader/>
        </w:trPr>
        <w:tc>
          <w:tcPr>
            <w:tcW w:type="dxa" w:w="3000"/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Погано</w:t>
            </w:r>
          </w:p>
        </w:tc>
        <w:tc>
          <w:tcPr>
            <w:tcW w:type="dxa" w:w="3600"/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Добре</w:t>
            </w:r>
          </w:p>
        </w:tc>
        <w:tc>
          <w:tcPr>
            <w:tcW w:type="dxa" w:w="3000"/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Чому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Комплексні HR-рішення для вашого бізнесу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Іноземні працівники у штат вашого підприємства — від 3 осіб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Категорія і поріг входу замість абстракції</w:t>
            </w:r>
          </w:p>
        </w:tc>
      </w:tr>
      <w:tr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Швидко закриємо ваші вакансії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У середньому 3 місяці. Максимум 4 — зафіксовано в договорі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Чесний строк — головна відстройка; «швидко» скомпрометовано ринком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Гарантія якості персоналу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Не приїхав, не вийшов, пішов у перший місяць — привозимо заміну. Без повторної комісії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Гарантія з названими випадками замість слова «гарантія»</w:t>
            </w:r>
          </w:p>
        </w:tc>
      </w:tr>
      <w:tr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Вигідні ціни, індивідуальний підхід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€1 000 за англомовного працівника. Сітка публічна. Це весь перелік — інших рахунків не буде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Цифра і закритий перелік замість «вигідно»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Ми — надійний стратегічний партнер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Останній платіж — коли працівники вже на вашому підприємстві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Довіра показана механікою грошей, а не прикметником</w:t>
            </w:r>
          </w:p>
        </w:tc>
      </w:tr>
      <w:tr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Захист від ТЦК: іноземці, яких не заберуть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Контракт на 1–2 роки. Працівник не вибуває з графіка — ані посеред сезону, ані посеред зміни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Той самий мотив без токсичної рамки (заборона власника)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Дешевша робоча сила з Азії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Прогнозований ФОП: вартість зафіксована договором на рік уперед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«Дешева робоча сила» — стоп-слово; продаємо передбачуваність</w:t>
            </w:r>
          </w:p>
        </w:tc>
      </w:tr>
      <w:tr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Оформлення документів — на вашому боці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Дозвіл на роботу, віза D, посвідка — оформлюємо ми. Державні платежі входять у ціну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Знімаємо головний бар'єр (страх бюрократії), називаємо документи поіменно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Процес складний, але ми допоможемо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Ви підписуєте договір і готуєте ліжко та їжу. Решта — наша робота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«Складно» без продовження підсилює страх; показуємо простоту для клієнта</w:t>
            </w:r>
          </w:p>
        </w:tc>
      </w:tr>
      <w:tr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Наші працівники ніколи не втікають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85% погоджених працівників доїжджають і відпрацьовують рік*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Перевірювана цифра зі сноскою замість абсолютної обіцянки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spacing w:after="200" w:before="60"/>
      </w:pPr>
      <w:r>
        <w:rPr>
          <w:i/>
          <w:iCs/>
          <w:color w:val="595959"/>
          <w:sz w:val="17"/>
          <w:szCs w:val="17"/>
        </w:rPr>
        <w:t xml:space="preserve">Джерела: Синтез: платформа + КП v1/v2 тексти + дослідження аудиторії; оновлено за рішеннями 10–11.08.2026.</w:t>
      </w:r>
    </w:p>
    <w:p>
      <w:pPr>
        <w:pStyle w:val="Heading1"/>
      </w:pPr>
      <w:r>
        <w:t xml:space="preserve">6. Візуальний тон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Палітра: </w:t>
      </w:r>
      <w:r>
        <w:t xml:space="preserve">чорний #0D0D0D · білий #FFFFFF · будівельний/сигнальний оранжевий (робочий токен #FF6A00; фінальний бренд-токен не затверджено — у v1 використовувався #FF5A00).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Мотив: </w:t>
      </w:r>
      <w:r>
        <w:t xml:space="preserve">оранжевий квадрат як бренд-мітка, бейдж із номером, буллет. Темні полоси — для смислових опор, світлі — для щільного змісту.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Шрифти (робочі): </w:t>
      </w:r>
      <w:r>
        <w:t xml:space="preserve">Arial для заголовків, Calibri для тексту — до появи брендбука.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Фото і відео: </w:t>
      </w:r>
      <w:r>
        <w:t xml:space="preserve">індустріальна реальність (лінія, зміна, маршрут), реальні люди і процеси; не стокові усмішки в офісі. Референси креативів, схвалені власником, — у формі від 17.06.2026.</w:t>
      </w:r>
    </w:p>
    <w:p>
      <w:pPr>
        <w:pBdr>
          <w:left w:val="single" w:color="FF6A00" w:sz="18" w:space="8"/>
        </w:pBdr>
        <w:spacing w:after="160"/>
        <w:ind w:left="200"/>
      </w:pPr>
      <w:r>
        <w:rPr>
          <w:b/>
          <w:bCs/>
          <w:color w:val="FF6A00"/>
        </w:rPr>
        <w:t xml:space="preserve">⚠ Позначка: </w:t>
      </w:r>
      <w:r>
        <w:t xml:space="preserve">Логотип у векторі та брендбук відсутні — бренд-мітка поки набирається шрифтом. Фінальний оранжевий токен затвердити разом із брендбуком.</w:t>
      </w:r>
    </w:p>
    <w:p>
      <w:pPr>
        <w:spacing w:after="200" w:before="60"/>
      </w:pPr>
      <w:r>
        <w:rPr>
          <w:i/>
          <w:iCs/>
          <w:color w:val="595959"/>
          <w:sz w:val="17"/>
          <w:szCs w:val="17"/>
        </w:rPr>
        <w:t xml:space="preserve">Джерела: Рішення власника про палітру (10.08.2026, Проект); Файл 2, I.4 і розділ 29 (токени); форма 17.06.2026 (референси).</w:t>
      </w:r>
    </w:p>
    <w:sectPr>
      <w:pgSz w:w="11906" w:h="16838" w:orient="portrait"/>
      <w:pgMar w:top="1133" w:right="1020" w:bottom="102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240"/>
      </w:pPr>
      <w:rPr>
        <w:color w:val="FF6A00"/>
      </w:r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D0D0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Arial" w:cs="Arial" w:eastAsia="Arial" w:hAnsi="Arial"/>
      <w:b/>
      <w:bCs/>
      <w:color w:val="0D0D0D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FF6A00" w:sz="12" w:space="4"/>
      </w:pBdr>
      <w:spacing w:after="160" w:before="360"/>
    </w:pPr>
    <w:rPr>
      <w:rFonts w:ascii="Arial" w:cs="Arial" w:eastAsia="Arial" w:hAnsi="Arial"/>
      <w:b/>
      <w:bCs/>
      <w:color w:val="0D0D0D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60"/>
    </w:pPr>
    <w:rPr>
      <w:rFonts w:ascii="Arial" w:cs="Arial" w:eastAsia="Arial" w:hAnsi="Arial"/>
      <w:b/>
      <w:bCs/>
      <w:color w:val="0D0D0D"/>
      <w:sz w:val="24"/>
      <w:szCs w:val="24"/>
    </w:rPr>
  </w:style>
  <w:style w:type="paragraph" w:styleId="Heading3">
    <w:name w:val="Heading 3"/>
    <w:basedOn w:val="Normal"/>
    <w:next w:val="Normal"/>
    <w:pPr>
      <w:keepNext/>
      <w:spacing w:after="100" w:before="200"/>
    </w:pPr>
    <w:rPr>
      <w:rFonts w:ascii="Arial" w:cs="Arial" w:eastAsia="Arial" w:hAnsi="Arial"/>
      <w:b/>
      <w:bCs/>
      <w:color w:val="FF6A0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2026-08-11T01:46:02.403Z</dcterms:created>
  <dcterms:modified xsi:type="dcterms:W3CDTF">2026-08-11T01:46:02.403Z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