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c1667b107f89406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d9016b67ba0142e6"/>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rFonts w:ascii="Segoe UI" w:hAnsi="Segoe UI"/>
          <w:b/>
          <w:color w:val="e8e8f0"/>
          <w:sz w:val="64"/>
        </w:rPr>
        <w:t>The Quantum Information</w:t>
      </w:r>
    </w:p>
    <w:p>
      <w:pPr>
        <w:spacing w:after="400"/>
        <w:ind w:left="1200" w:right="1200"/>
        <w:jc w:val="left"/>
      </w:pPr>
      <w:r>
        <w:rPr>
          <w:rFonts w:ascii="Segoe UI" w:hAnsi="Segoe UI"/>
          <w:b/>
          <w:color w:val="0066cc"/>
          <w:sz w:val="64"/>
        </w:rPr>
        <w:t>Theory of Quality Space</w:t>
      </w:r>
    </w:p>
    <w:p>
      <w:pPr>
        <w:spacing w:after="600"/>
        <w:ind w:left="1200" w:right="1200"/>
        <w:jc w:val="left"/>
      </w:pPr>
      <w:r>
        <w:rPr>
          <w:i/>
          <w:color w:val="00a8cc"/>
          <w:sz w:val="28"/>
        </w:rPr>
        <w:t>A Multi-Layered Conceptual Framework for Axiological Manifolds</w:t>
      </w:r>
    </w:p>
    <w:p>
      <w:pPr>
        <w:spacing w:after="3000"/>
        <w:ind w:left="1200" w:right="1200"/>
        <w:jc w:val="left"/>
      </w:pPr>
      <w:r>
        <w:rPr>
          <w:color w:val="b0b0c0"/>
          <w:spacing w:val="30"/>
          <w:sz w:val="20"/>
        </w:rPr>
        <w:t>Recursive Meta-Vector Collapse and Reconstituted Meta-Linguistic Architecture</w:t>
      </w:r>
    </w:p>
    <w:p>
      <w:pPr>
        <w:spacing w:after="120"/>
        <w:ind w:left="1200"/>
        <w:jc w:val="left"/>
      </w:pPr>
      <w:r>
        <w:rPr>
          <w:color w:val="808090"/>
          <w:sz w:val="18"/>
        </w:rPr>
        <w:t>Theoretical Framework</w:t>
      </w:r>
    </w:p>
    <w:p>
      <w:pPr>
        <w:ind w:left="1200"/>
        <w:jc w:val="left"/>
      </w:pPr>
      <w:r>
        <w:rPr>
          <w:color w:val="808090"/>
          <w:sz w:val="16"/>
        </w:rPr>
        <w:t>January 2026</w:t>
      </w:r>
    </w:p>
    <w:p>
      <w:pPr>
        <w:sectPr>
          <w:type w:val="nextPage"/>
          <w:pgSz w:w="11906" w:h="16838"/>
          <w:pgMar w:top="0" w:right="0" w:bottom="0" w:left="0" w:header="0" w:footer="0"/>
        </w:sectPr>
      </w:pPr>
    </w:p>
    <w:p>
      <w:pPr>
        <w:spacing w:before="600" w:after="200"/>
      </w:pPr>
      <w:r>
        <w:rPr>
          <w:b/>
          <w:color w:val="0066cc"/>
          <w:sz w:val="36"/>
        </w:rPr>
        <w:t>Table of Contents</w:t>
      </w:r>
    </w:p>
    <w:p>
      <w:pPr>
        <w:spacing w:after="400"/>
      </w:pPr>
      <w:r>
        <w:rPr>
          <w:color w:val="808090"/>
          <w:sz w:val="18"/>
        </w:rPr>
        <w:t>Right-click the TOC and select "Update Field" to refresh page numbers</w:t>
      </w:r>
    </w:p>
    <w:p>
      <w:r>
        <w:fldChar w:fldCharType="begin"/>
      </w:r>
      <w:r>
        <w:instrText xml:space="preserve"> TOC \o "1-3" \h \z \u </w:instrText>
      </w:r>
      <w:r>
        <w:fldChar w:fldCharType="separate"/>
      </w:r>
    </w:p>
    <w:p>
      <w:pPr>
        <w:pStyle w:val="TOC1"/>
      </w:pPr>
      <w:r>
        <w:t>Abstract</w:t>
      </w:r>
      <w:r>
        <w:tab/>
      </w:r>
      <w:r>
        <w:t>2</w:t>
      </w:r>
    </w:p>
    <w:p>
      <w:pPr>
        <w:pStyle w:val="TOC1"/>
      </w:pPr>
      <w:r>
        <w:t>Phase I: Defining the Axiological Manifold</w:t>
      </w:r>
      <w:r>
        <w:tab/>
      </w:r>
      <w:r>
        <w:t>3</w:t>
      </w:r>
    </w:p>
    <w:p>
      <w:pPr>
        <w:pStyle w:val="TOC2"/>
      </w:pPr>
      <w:r>
        <w:t>1. The Axiological Manifold as Experiential Valence</w:t>
      </w:r>
      <w:r>
        <w:tab/>
      </w:r>
      <w:r>
        <w:t>3</w:t>
      </w:r>
    </w:p>
    <w:p>
      <w:pPr>
        <w:pStyle w:val="TOC2"/>
      </w:pPr>
      <w:r>
        <w:t>2. The Multi-Dimensional Quality Tensor</w:t>
      </w:r>
      <w:r>
        <w:tab/>
      </w:r>
      <w:r>
        <w:t>4</w:t>
      </w:r>
    </w:p>
    <w:p>
      <w:pPr>
        <w:pStyle w:val="TOC1"/>
      </w:pPr>
      <w:r>
        <w:t>Phase II: Quantum Information Overlay</w:t>
      </w:r>
      <w:r>
        <w:tab/>
      </w:r>
      <w:r>
        <w:t>6</w:t>
      </w:r>
    </w:p>
    <w:p>
      <w:pPr>
        <w:pStyle w:val="TOC2"/>
      </w:pPr>
      <w:r>
        <w:t>3. Superposition of Qualitative Eigenstates</w:t>
      </w:r>
      <w:r>
        <w:tab/>
      </w:r>
      <w:r>
        <w:t>6</w:t>
      </w:r>
    </w:p>
    <w:p>
      <w:pPr>
        <w:pStyle w:val="TOC2"/>
      </w:pPr>
      <w:r>
        <w:t>4. Entanglement of Axiological Attributes</w:t>
      </w:r>
      <w:r>
        <w:tab/>
      </w:r>
      <w:r>
        <w:t>7</w:t>
      </w:r>
    </w:p>
    <w:p>
      <w:pPr>
        <w:pStyle w:val="TOC2"/>
      </w:pPr>
      <w:r>
        <w:t>5. Observer-Induced Collapse of Qualitative Coherence</w:t>
      </w:r>
      <w:r>
        <w:tab/>
      </w:r>
      <w:r>
        <w:t>8</w:t>
      </w:r>
    </w:p>
    <w:p>
      <w:pPr>
        <w:pStyle w:val="TOC2"/>
      </w:pPr>
      <w:r>
        <w:t>6. Quantum Tunnelling of Ideational Quality</w:t>
      </w:r>
      <w:r>
        <w:tab/>
      </w:r>
      <w:r>
        <w:t>9</w:t>
      </w:r>
    </w:p>
    <w:p>
      <w:pPr>
        <w:pStyle w:val="TOC2"/>
      </w:pPr>
      <w:r>
        <w:t>7. No-Cloning Theorem for Qualitative Experience</w:t>
      </w:r>
      <w:r>
        <w:tab/>
      </w:r>
      <w:r>
        <w:t>10</w:t>
      </w:r>
    </w:p>
    <w:p>
      <w:pPr>
        <w:pStyle w:val="TOC1"/>
      </w:pPr>
      <w:r>
        <w:t>Phase III: Recursive Attentional Fields</w:t>
      </w:r>
      <w:r>
        <w:tab/>
      </w:r>
      <w:r>
        <w:t>11</w:t>
      </w:r>
    </w:p>
    <w:p>
      <w:pPr>
        <w:pStyle w:val="TOC2"/>
      </w:pPr>
      <w:r>
        <w:t>8. The Meta-Vector as Collapse Operator</w:t>
      </w:r>
      <w:r>
        <w:tab/>
      </w:r>
      <w:r>
        <w:t>11</w:t>
      </w:r>
    </w:p>
    <w:p>
      <w:pPr>
        <w:pStyle w:val="TOC2"/>
      </w:pPr>
      <w:r>
        <w:t>9. Input Fold Operations</w:t>
      </w:r>
      <w:r>
        <w:tab/>
      </w:r>
      <w:r>
        <w:t>12</w:t>
      </w:r>
    </w:p>
    <w:p>
      <w:pPr>
        <w:pStyle w:val="TOC1"/>
      </w:pPr>
      <w:r>
        <w:t>Phase IV: Reconstituted Meta-Linguistic Architecture</w:t>
      </w:r>
      <w:r>
        <w:tab/>
      </w:r>
      <w:r>
        <w:t>14</w:t>
      </w:r>
    </w:p>
    <w:p>
      <w:pPr>
        <w:pStyle w:val="TOC2"/>
      </w:pPr>
      <w:r>
        <w:t>10. Vocabulary for Probabilistic Qualitative States</w:t>
      </w:r>
      <w:r>
        <w:tab/>
      </w:r>
      <w:r>
        <w:t>14</w:t>
      </w:r>
    </w:p>
    <w:p>
      <w:pPr>
        <w:pStyle w:val="TOC2"/>
      </w:pPr>
      <w:r>
        <w:t>11. Grammar for Entangled Axiological Relationships</w:t>
      </w:r>
      <w:r>
        <w:tab/>
      </w:r>
      <w:r>
        <w:t>15</w:t>
      </w:r>
    </w:p>
    <w:p>
      <w:pPr>
        <w:pStyle w:val="TOC2"/>
      </w:pPr>
      <w:r>
        <w:t>12. Logic for Observer-Dependent Transformations</w:t>
      </w:r>
      <w:r>
        <w:tab/>
      </w:r>
      <w:r>
        <w:t>16</w:t>
      </w:r>
    </w:p>
    <w:p>
      <w:pPr>
        <w:pStyle w:val="TOC2"/>
      </w:pPr>
      <w:r>
        <w:t>13. Syntax for Qualitative Superposition Collapse</w:t>
      </w:r>
      <w:r>
        <w:tab/>
      </w:r>
      <w:r>
        <w:t>17</w:t>
      </w:r>
    </w:p>
    <w:p>
      <w:pPr>
        <w:pStyle w:val="TOC1"/>
      </w:pPr>
      <w:r>
        <w:t>Conclusion</w:t>
      </w:r>
      <w:r>
        <w:tab/>
      </w:r>
      <w:r>
        <w:t>18</w:t>
      </w:r>
    </w:p>
    <w:p>
      <w:pPr>
        <w:pStyle w:val="TOC1"/>
      </w:pPr>
      <w:r>
        <w:t>References</w:t>
      </w:r>
      <w:r>
        <w:tab/>
      </w:r>
      <w:r>
        <w:t>19</w:t>
      </w:r>
    </w:p>
    <w:p>
      <w:r>
        <w:fldChar w:fldCharType="end"/>
      </w:r>
    </w:p>
    <w:p>
      <w:pPr>
        <w:sectPr>
          <w:type w:val="nextPage"/>
          <w:pgSz w:w="11906" w:h="16838"/>
          <w:pgMar w:top="1800" w:right="1440" w:bottom="1440" w:left="1440" w:header="720" w:footer="720"/>
        </w:sectPr>
      </w:pPr>
    </w:p>
    <w:p>
      <w:pPr>
        <w:pStyle w:val="Heading1"/>
      </w:pPr>
      <w:bookmarkStart w:name="_TocAbstract" w:id="Abstract"/>
      <w:r>
        <w:t>Abstract</w:t>
      </w:r>
      <w:bookmarkEnd w:id="Abstract"/>
    </w:p>
    <w:p>
      <w:r>
        <w:t>This paper presents a novel theoretical framework integrating quantum information theory with axiological analysis, introducing the concept of Quality Space as an Axiological Manifold of Experiential Valence. We demonstrate that qualitative assessments can be modeled using quantum mechanical principles including superposition, entanglement, and observer-induced collapse. The framework introduces the meta-vector as a collapse operator on this manifold, driven by recursive attentional fields. This approach enables a dynamic, non-linear, and observer-dependent model of emergent quality, with significant implications for complex ideational analysis, conversational dynamics, and meta-linguistic reconstruction.</w:t>
      </w:r>
    </w:p>
    <w:p>
      <w:pPr>
        <w:spacing w:before="200"/>
      </w:pPr>
      <w:r>
        <w:rPr>
          <w:b/>
        </w:rPr>
        <w:t>Keywords: </w:t>
      </w:r>
      <w:r>
        <w:t>quantum information theory, axiological manifold, quality space, superposition, entanglement, meta-vector, recursive attention, observer-induced collapse</w:t>
      </w:r>
    </w:p>
    <w:p>
      <w:pPr>
        <w:pStyle w:val="Heading1"/>
      </w:pPr>
      <w:bookmarkStart w:name="_TocPhaseI" w:id="10I"/>
      <w:r>
        <w:t>Phase I: Defining the Axiological Manifold</w:t>
      </w:r>
      <w:bookmarkEnd w:id="10I"/>
    </w:p>
    <w:p>
      <w:r>
        <w:t>We commence by establishing the foundational mathematical structure upon which the quantum information framework is built. The Axiological Manifold represents a departure from classical quality metrics, introducing a topological structure capable of supporting quantum phenomena.</w:t>
      </w:r>
    </w:p>
    <w:p>
      <w:pPr>
        <w:pStyle w:val="Heading2"/>
      </w:pPr>
      <w:r>
        <w:t>1. The Axiological Manifold as Experiential Valence</w:t>
      </w:r>
    </w:p>
    <w:p>
      <w:pPr>
        <w:pBdr>
          <w:left w:val="single" w:color="0066cc" w:sz="24"/>
        </w:pBdr>
        <w:shd w:val="clear" w:fill="1a1a2e"/>
        <w:spacing w:before="200" w:after="200"/>
        <w:ind w:left="720" w:right="720"/>
      </w:pPr>
      <w:r>
        <w:rPr>
          <w:b/>
          <w:color w:val="0066cc"/>
          <w:sz w:val="22"/>
        </w:rPr>
        <w:t>Definition 1.1 (Axiological Manifold) </w:t>
      </w:r>
      <w:r>
        <w:rPr>
          <w:i/>
          <w:color w:val="b0b0c0"/>
          <w:sz w:val="21"/>
        </w:rPr>
        <w:t xml:space="preserve">The Axiological Manifold Q is defined as a topological space where each point represents a state of experiential valence, and paths between points represent qualitative transformations. Unlike classical metric spaces, Q is equipped with a non-Euclidean structure that enables quantum superposition of qualitative states.</w:t>
      </w:r>
    </w:p>
    <w:p>
      <w:r>
        <w:t>The manifold Q is characterized by the following structural properties:</w:t>
      </w:r>
    </w:p>
    <w:p>
      <w:pPr>
        <w:spacing w:before="80" w:after="80"/>
        <w:ind w:left="1080" w:hanging="360"/>
      </w:pPr>
      <w:r>
        <w:rPr>
          <w:color w:val="00a8cc"/>
        </w:rPr>
        <w:t xml:space="preserve">•  </w:t>
      </w:r>
      <w:r>
        <w:t>Local Chart Structure: Each neighborhood U in Q is homeomorphic to a Hilbert space H, enabling the representation of qualitative states as quantum state vectors.</w:t>
      </w:r>
    </w:p>
    <w:p>
      <w:pPr>
        <w:spacing w:before="80" w:after="80"/>
        <w:ind w:left="1080" w:hanging="360"/>
      </w:pPr>
      <w:r>
        <w:rPr>
          <w:color w:val="00a8cc"/>
        </w:rPr>
        <w:t xml:space="preserve">•  </w:t>
      </w:r>
      <w:r>
        <w:t>Transition Amplitudes: Paths between qualitative states are governed by transition amplitudes rather than classical distances, allowing for quantum interference effects.</w:t>
      </w:r>
    </w:p>
    <w:p>
      <w:pPr>
        <w:spacing w:before="80" w:after="80"/>
        <w:ind w:left="1080" w:hanging="360"/>
      </w:pPr>
      <w:r>
        <w:rPr>
          <w:color w:val="00a8cc"/>
        </w:rPr>
        <w:t xml:space="preserve">•  </w:t>
      </w:r>
      <w:r>
        <w:t>Observable Algebra: The space of qualitative observables forms a C*-algebra, enabling the application of quantum measurement theory to axiological analysis.</w:t>
      </w:r>
    </w:p>
    <w:p>
      <w:pPr>
        <w:pStyle w:val="Heading3"/>
      </w:pPr>
      <w:r>
        <w:t>Theorem 1.1 (Manifold Completeness)</w:t>
      </w:r>
    </w:p>
    <w:p>
      <w:pPr>
        <w:pBdr>
          <w:left w:val="single" w:color="00a8cc" w:sz="12"/>
        </w:pBdr>
        <w:shd w:val="clear" w:fill="14141a"/>
        <w:spacing w:before="200" w:after="200"/>
        <w:ind w:left="720" w:right="720"/>
        <w:jc w:val="center"/>
      </w:pPr>
      <w:r>
        <w:rPr>
          <w:rFonts w:ascii="Cambria Math" w:hAnsi="Cambria Math"/>
          <w:i/>
          <w:color w:val="00a8cc"/>
          <w:sz w:val="22"/>
        </w:rPr>
        <w:t xml:space="preserve">The Axiological Manifold Q is complete with respect to the qualitative metric induced by the inner product on its local Hilbert space charts. Every Cauchy sequence of qualitative states converges to a well-defined limit state within Q.</w:t>
      </w:r>
    </w:p>
    <w:p>
      <w:r>
        <w:rPr>
          <w:b/>
        </w:rPr>
        <w:t>Proof Sketch: </w:t>
      </w:r>
      <w:r>
        <w:t>The completeness follows from the Hilbert space structure of local charts and the compactness of the manifold. Given any sequence of qualitative states, the boundedness of the qualitative norm ensures the existence of a convergent subsequence whose limit lies within Q by the closedness of the manifold under the qualitative topology.</w:t>
      </w:r>
    </w:p>
    <w:p>
      <w:pPr>
        <w:pStyle w:val="Heading2"/>
      </w:pPr>
      <w:r>
        <w:t>2. The Multi-Dimensional Quality Tensor</w:t>
      </w:r>
    </w:p>
    <w:p>
      <w:r>
        <w:t>Within the Axiological Manifold, quality manifests not as a singular scalar but as a dynamic, multi-dimensional tensor. This tensorial representation captures the complex, non-commutative nature of qualitative experience.</w:t>
      </w:r>
    </w:p>
    <w:p>
      <w:pPr>
        <w:pBdr>
          <w:left w:val="single" w:color="0066cc" w:sz="24"/>
        </w:pBdr>
        <w:shd w:val="clear" w:fill="1a1a2e"/>
        <w:spacing w:before="200" w:after="200"/>
        <w:ind w:left="720" w:right="720"/>
      </w:pPr>
      <w:r>
        <w:rPr>
          <w:b/>
          <w:color w:val="0066cc"/>
          <w:sz w:val="22"/>
        </w:rPr>
        <w:t>Definition 2.1 (Quality Tensor) </w:t>
      </w:r>
      <w:r>
        <w:rPr>
          <w:i/>
          <w:color w:val="b0b0c0"/>
          <w:sz w:val="21"/>
        </w:rPr>
        <w:t xml:space="preserve">The Quality Tensor T is a (p,q)-type tensor field on Q where: T: Q -&gt; H^p_q, with H being the local Hilbert space. Each component T^{i_1...i_p}_{j_1...j_q} represents a distinct axiological attribute including but not limited to: aesthetic resonance, functional robustness, ethical coherence, and epistemic fidelity.</w:t>
      </w:r>
    </w:p>
    <w:tbl>
      <w:tblPr>
        <w:tblW w:w="5000" w:type="pct"/>
        <w:tblBorders>
          <w:top w:val="single" w:color="0066cc" w:sz="12"/>
          <w:left w:val="nil"/>
          <w:bottom w:val="single" w:color="0066cc" w:sz="12"/>
          <w:right w:val="nil"/>
          <w:insideH w:val="nil"/>
          <w:insideV w:val="nil"/>
        </w:tblBorders>
        <w:tblCellMar>
          <w:top w:w="100" w:type="dxa"/>
          <w:left w:w="150" w:type="dxa"/>
          <w:bottom w:w="100" w:type="dxa"/>
          <w:right w:w="150" w:type="dxa"/>
        </w:tblCellMar>
      </w:tblPr>
      <w:tblGrid>
        <w:gridCol w:w="2000"/>
        <w:gridCol w:w="3500"/>
        <w:gridCol w:w="4500"/>
      </w:tblGrid>
      <w:tr>
        <w:trPr>
          <w:tblHeader/>
          <w:trHeight w:val="400" w:hRule="atLeast"/>
        </w:trPr>
        <w:tc>
          <w:tcPr>
            <w:tcW w:w="2000" w:type="dxa"/>
            <w:tcBorders>
              <w:bottom w:val="single" w:color="0066cc" w:sz="6"/>
            </w:tcBorders>
            <w:shd w:val="clear" w:fill="1a1a2e"/>
            <w:vAlign w:val="center"/>
          </w:tcPr>
          <w:p>
            <w:pPr>
              <w:spacing w:before="0" w:after="0"/>
              <w:jc w:val="center"/>
            </w:pPr>
            <w:r>
              <w:rPr>
                <w:b/>
                <w:color w:val="e8e8f0"/>
                <w:sz w:val="20"/>
              </w:rPr>
              <w:t>Dimension</w:t>
            </w:r>
          </w:p>
        </w:tc>
        <w:tc>
          <w:tcPr>
            <w:tcW w:w="3500" w:type="dxa"/>
            <w:tcBorders>
              <w:bottom w:val="single" w:color="0066cc" w:sz="6"/>
            </w:tcBorders>
            <w:shd w:val="clear" w:fill="1a1a2e"/>
            <w:vAlign w:val="center"/>
          </w:tcPr>
          <w:p>
            <w:pPr>
              <w:spacing w:before="0" w:after="0"/>
              <w:jc w:val="center"/>
            </w:pPr>
            <w:r>
              <w:rPr>
                <w:b/>
                <w:color w:val="e8e8f0"/>
                <w:sz w:val="20"/>
              </w:rPr>
              <w:t>Symbol</w:t>
            </w:r>
          </w:p>
        </w:tc>
        <w:tc>
          <w:tcPr>
            <w:tcW w:w="4500" w:type="dxa"/>
            <w:tcBorders>
              <w:bottom w:val="single" w:color="0066cc" w:sz="6"/>
            </w:tcBorders>
            <w:shd w:val="clear" w:fill="1a1a2e"/>
            <w:vAlign w:val="center"/>
          </w:tcPr>
          <w:p>
            <w:pPr>
              <w:spacing w:before="0" w:after="0"/>
              <w:jc w:val="center"/>
            </w:pPr>
            <w:r>
              <w:rPr>
                <w:b/>
                <w:color w:val="e8e8f0"/>
                <w:sz w:val="20"/>
              </w:rPr>
              <w:t>Description</w:t>
            </w:r>
          </w:p>
        </w:tc>
      </w:tr>
      <w:tr>
        <w:trPr>
          <w:trHeight w:val="360" w:hRule="atLeast"/>
        </w:trPr>
        <w:tc>
          <w:tcPr>
            <w:tcW w:w="2000" w:type="dxa"/>
            <w:vAlign w:val="center"/>
          </w:tcPr>
          <w:p>
            <w:pPr>
              <w:spacing w:before="0" w:after="0"/>
              <w:jc w:val="center"/>
            </w:pPr>
            <w:r>
              <w:rPr>
                <w:color w:val="e8e8f0"/>
                <w:sz w:val="20"/>
              </w:rPr>
              <w:t>Aesthetic Resonance</w:t>
            </w:r>
          </w:p>
        </w:tc>
        <w:tc>
          <w:tcPr>
            <w:tcW w:w="3500" w:type="dxa"/>
            <w:vAlign w:val="center"/>
          </w:tcPr>
          <w:p>
            <w:pPr>
              <w:spacing w:before="0" w:after="0"/>
              <w:jc w:val="left"/>
            </w:pPr>
            <w:r>
              <w:rPr>
                <w:color w:val="e8e8f0"/>
                <w:sz w:val="20"/>
              </w:rPr>
              <w:t>T^a</w:t>
            </w:r>
          </w:p>
        </w:tc>
        <w:tc>
          <w:tcPr>
            <w:tcW w:w="4500" w:type="dxa"/>
            <w:vAlign w:val="center"/>
          </w:tcPr>
          <w:p>
            <w:pPr>
              <w:spacing w:before="0" w:after="0"/>
              <w:jc w:val="left"/>
            </w:pPr>
            <w:r>
              <w:rPr>
                <w:color w:val="e8e8f0"/>
                <w:sz w:val="20"/>
              </w:rPr>
              <w:t>Harmony, beauty, elegance</w:t>
            </w:r>
          </w:p>
        </w:tc>
      </w:tr>
      <w:tr>
        <w:trPr>
          <w:trHeight w:val="360" w:hRule="atLeast"/>
        </w:trPr>
        <w:tc>
          <w:tcPr>
            <w:tcW w:w="2000" w:type="dxa"/>
            <w:vAlign w:val="center"/>
          </w:tcPr>
          <w:p>
            <w:pPr>
              <w:spacing w:before="0" w:after="0"/>
              <w:jc w:val="center"/>
            </w:pPr>
            <w:r>
              <w:rPr>
                <w:color w:val="e8e8f0"/>
                <w:sz w:val="20"/>
              </w:rPr>
              <w:t>Functional Robustness</w:t>
            </w:r>
          </w:p>
        </w:tc>
        <w:tc>
          <w:tcPr>
            <w:tcW w:w="3500" w:type="dxa"/>
            <w:vAlign w:val="center"/>
          </w:tcPr>
          <w:p>
            <w:pPr>
              <w:spacing w:before="0" w:after="0"/>
              <w:jc w:val="left"/>
            </w:pPr>
            <w:r>
              <w:rPr>
                <w:color w:val="e8e8f0"/>
                <w:sz w:val="20"/>
              </w:rPr>
              <w:t>T^f</w:t>
            </w:r>
          </w:p>
        </w:tc>
        <w:tc>
          <w:tcPr>
            <w:tcW w:w="4500" w:type="dxa"/>
            <w:vAlign w:val="center"/>
          </w:tcPr>
          <w:p>
            <w:pPr>
              <w:spacing w:before="0" w:after="0"/>
              <w:jc w:val="left"/>
            </w:pPr>
            <w:r>
              <w:rPr>
                <w:color w:val="e8e8f0"/>
                <w:sz w:val="20"/>
              </w:rPr>
              <w:t>Stability, reliability, utility</w:t>
            </w:r>
          </w:p>
        </w:tc>
      </w:tr>
      <w:tr>
        <w:trPr>
          <w:trHeight w:val="360" w:hRule="atLeast"/>
        </w:trPr>
        <w:tc>
          <w:tcPr>
            <w:tcW w:w="2000" w:type="dxa"/>
            <w:vAlign w:val="center"/>
          </w:tcPr>
          <w:p>
            <w:pPr>
              <w:spacing w:before="0" w:after="0"/>
              <w:jc w:val="center"/>
            </w:pPr>
            <w:r>
              <w:rPr>
                <w:color w:val="e8e8f0"/>
                <w:sz w:val="20"/>
              </w:rPr>
              <w:t>Ethical Coherence</w:t>
            </w:r>
          </w:p>
        </w:tc>
        <w:tc>
          <w:tcPr>
            <w:tcW w:w="3500" w:type="dxa"/>
            <w:vAlign w:val="center"/>
          </w:tcPr>
          <w:p>
            <w:pPr>
              <w:spacing w:before="0" w:after="0"/>
              <w:jc w:val="left"/>
            </w:pPr>
            <w:r>
              <w:rPr>
                <w:color w:val="e8e8f0"/>
                <w:sz w:val="20"/>
              </w:rPr>
              <w:t>T^e</w:t>
            </w:r>
          </w:p>
        </w:tc>
        <w:tc>
          <w:tcPr>
            <w:tcW w:w="4500" w:type="dxa"/>
            <w:vAlign w:val="center"/>
          </w:tcPr>
          <w:p>
            <w:pPr>
              <w:spacing w:before="0" w:after="0"/>
              <w:jc w:val="left"/>
            </w:pPr>
            <w:r>
              <w:rPr>
                <w:color w:val="e8e8f0"/>
                <w:sz w:val="20"/>
              </w:rPr>
              <w:t>Moral consistency, justice</w:t>
            </w:r>
          </w:p>
        </w:tc>
      </w:tr>
      <w:tr>
        <w:trPr>
          <w:trHeight w:val="360" w:hRule="atLeast"/>
        </w:trPr>
        <w:tc>
          <w:tcPr>
            <w:tcW w:w="2000" w:type="dxa"/>
            <w:vAlign w:val="center"/>
          </w:tcPr>
          <w:p>
            <w:pPr>
              <w:spacing w:before="0" w:after="0"/>
              <w:jc w:val="center"/>
            </w:pPr>
            <w:r>
              <w:rPr>
                <w:color w:val="e8e8f0"/>
                <w:sz w:val="20"/>
              </w:rPr>
              <w:t>Epistemic Fidelity</w:t>
            </w:r>
          </w:p>
        </w:tc>
        <w:tc>
          <w:tcPr>
            <w:tcW w:w="3500" w:type="dxa"/>
            <w:vAlign w:val="center"/>
          </w:tcPr>
          <w:p>
            <w:pPr>
              <w:spacing w:before="0" w:after="0"/>
              <w:jc w:val="left"/>
            </w:pPr>
            <w:r>
              <w:rPr>
                <w:color w:val="e8e8f0"/>
                <w:sz w:val="20"/>
              </w:rPr>
              <w:t>T^k</w:t>
            </w:r>
          </w:p>
        </w:tc>
        <w:tc>
          <w:tcPr>
            <w:tcW w:w="4500" w:type="dxa"/>
            <w:vAlign w:val="center"/>
          </w:tcPr>
          <w:p>
            <w:pPr>
              <w:spacing w:before="0" w:after="0"/>
              <w:jc w:val="left"/>
            </w:pPr>
            <w:r>
              <w:rPr>
                <w:color w:val="e8e8f0"/>
                <w:sz w:val="20"/>
              </w:rPr>
              <w:t>Truth, accuracy, knowledge</w:t>
            </w:r>
          </w:p>
        </w:tc>
      </w:tr>
      <w:tr>
        <w:trPr>
          <w:trHeight w:val="360" w:hRule="atLeast"/>
        </w:trPr>
        <w:tc>
          <w:tcPr>
            <w:tcW w:w="2000" w:type="dxa"/>
            <w:vAlign w:val="center"/>
          </w:tcPr>
          <w:p>
            <w:pPr>
              <w:spacing w:before="0" w:after="0"/>
              <w:jc w:val="center"/>
            </w:pPr>
            <w:r>
              <w:rPr>
                <w:color w:val="e8e8f0"/>
                <w:sz w:val="20"/>
              </w:rPr>
              <w:t>Emotional Valence</w:t>
            </w:r>
          </w:p>
        </w:tc>
        <w:tc>
          <w:tcPr>
            <w:tcW w:w="3500" w:type="dxa"/>
            <w:vAlign w:val="center"/>
          </w:tcPr>
          <w:p>
            <w:pPr>
              <w:spacing w:before="0" w:after="0"/>
              <w:jc w:val="left"/>
            </w:pPr>
            <w:r>
              <w:rPr>
                <w:color w:val="e8e8f0"/>
                <w:sz w:val="20"/>
              </w:rPr>
              <w:t>T^v</w:t>
            </w:r>
          </w:p>
        </w:tc>
        <w:tc>
          <w:tcPr>
            <w:tcW w:w="4500" w:type="dxa"/>
            <w:vAlign w:val="center"/>
          </w:tcPr>
          <w:p>
            <w:pPr>
              <w:spacing w:before="0" w:after="0"/>
              <w:jc w:val="left"/>
            </w:pPr>
            <w:r>
              <w:rPr>
                <w:color w:val="e8e8f0"/>
                <w:sz w:val="20"/>
              </w:rPr>
              <w:t>Affective response, feeling</w:t>
            </w:r>
          </w:p>
        </w:tc>
      </w:tr>
    </w:tbl>
    <w:p>
      <w:pPr>
        <w:pStyle w:val="Caption"/>
      </w:pPr>
      <w:r>
        <w:t>Table 1: Quality Tensor Component Dimensions</w:t>
      </w:r>
    </w:p>
    <w:p>
      <w:pPr>
        <w:pStyle w:val="Heading3"/>
      </w:pPr>
      <w:r>
        <w:t>Definition 2.2 (Tensor Operations)</w:t>
      </w:r>
    </w:p>
    <w:p>
      <w:r>
        <w:t>The Quality Tensor supports the following fundamental operations:</w:t>
      </w:r>
    </w:p>
    <w:p>
      <w:pPr>
        <w:pBdr>
          <w:left w:val="single" w:color="0066cc" w:sz="24"/>
        </w:pBdr>
        <w:shd w:val="clear" w:fill="1a1a2e"/>
        <w:spacing w:before="200" w:after="200"/>
        <w:ind w:left="720" w:right="720"/>
      </w:pPr>
      <w:r>
        <w:rPr>
          <w:b/>
          <w:color w:val="0066cc"/>
          <w:sz w:val="22"/>
        </w:rPr>
        <w:t>Tensor Contraction </w:t>
      </w:r>
      <w:r>
        <w:rPr>
          <w:i/>
          <w:color w:val="b0b0c0"/>
          <w:sz w:val="21"/>
        </w:rPr>
        <w:t xml:space="preserve">Contraction along axiological indices corresponds to the integration of qualitative dimensions. For T^{ij}_k, the contraction C(T)^i = T^{ij}_j represents the holistic quality obtained by summing over the j-th axiological dimension.</w:t>
      </w:r>
    </w:p>
    <w:p>
      <w:pPr>
        <w:pBdr>
          <w:left w:val="single" w:color="0066cc" w:sz="24"/>
        </w:pBdr>
        <w:shd w:val="clear" w:fill="1a1a2e"/>
        <w:spacing w:before="200" w:after="200"/>
        <w:ind w:left="720" w:right="720"/>
      </w:pPr>
      <w:r>
        <w:rPr>
          <w:b/>
          <w:color w:val="0066cc"/>
          <w:sz w:val="22"/>
        </w:rPr>
        <w:t>Tensor Product </w:t>
      </w:r>
      <w:r>
        <w:rPr>
          <w:i/>
          <w:color w:val="b0b0c0"/>
          <w:sz w:val="21"/>
        </w:rPr>
        <w:t xml:space="preserve">The tensor product S x T of two quality tensors represents the combined qualitative state of composite systems. The entanglement properties of this product are governed by the quantum structure of the underlying Hilbert spaces.</w:t>
      </w:r>
    </w:p>
    <w:p>
      <w:pPr>
        <w:pBdr>
          <w:left w:val="single" w:color="0066cc" w:sz="24"/>
        </w:pBdr>
        <w:shd w:val="clear" w:fill="1a1a2e"/>
        <w:spacing w:before="200" w:after="200"/>
        <w:ind w:left="720" w:right="720"/>
      </w:pPr>
      <w:r>
        <w:rPr>
          <w:b/>
          <w:color w:val="0066cc"/>
          <w:sz w:val="22"/>
        </w:rPr>
        <w:t>Covariant Derivative </w:t>
      </w:r>
      <w:r>
        <w:rPr>
          <w:i/>
          <w:color w:val="b0b0c0"/>
          <w:sz w:val="21"/>
        </w:rPr>
        <w:t xml:space="preserve">The covariant derivative DT of the Quality Tensor describes how qualitative attributes change as one moves across the Axiological Manifold. The connection coefficients are determined by the attentional field structure.</w:t>
      </w:r>
    </w:p>
    <w:p>
      <w:pPr>
        <w:pStyle w:val="Heading1"/>
      </w:pPr>
      <w:bookmarkStart w:name="_TocPhaseII" w:id="10II"/>
      <w:r>
        <w:t>Phase II: Quantum Information Overlay</w:t>
      </w:r>
      <w:bookmarkEnd w:id="10II"/>
    </w:p>
    <w:p>
      <w:r>
        <w:t>Upon the Axiological Manifold, we retro-apply the principles of Quantum Information Theory (QIT), transforming discrete qualitative states into a continuous, probabilistic spectrum. This overlay enables the modeling of quality using quantum mechanical principles.</w:t>
      </w:r>
    </w:p>
    <w:p>
      <w:pPr>
        <w:pStyle w:val="Heading2"/>
      </w:pPr>
      <w:r>
        <w:t>3. Superposition of Qualitative Eigenstates</w:t>
      </w:r>
    </w:p>
    <w:p>
      <w:pPr>
        <w:pBdr>
          <w:left w:val="single" w:color="0066cc" w:sz="24"/>
        </w:pBdr>
        <w:shd w:val="clear" w:fill="1a1a2e"/>
        <w:spacing w:before="200" w:after="200"/>
        <w:ind w:left="720" w:right="720"/>
      </w:pPr>
      <w:r>
        <w:rPr>
          <w:b/>
          <w:color w:val="0066cc"/>
          <w:sz w:val="22"/>
        </w:rPr>
        <w:t>Definition 3.1 (Qualitative Eigenstates) </w:t>
      </w:r>
      <w:r>
        <w:rPr>
          <w:i/>
          <w:color w:val="b0b0c0"/>
          <w:sz w:val="21"/>
        </w:rPr>
        <w:t xml:space="preserve">A qualitative eigenstate |q_i&gt; is a state vector in the Hilbert space H_Q associated with a definite value of a particular qualitative observable Q. These eigenstates form a complete basis for the quality space: Q|q_i&gt; = q_i|q_i&gt;, where q_i is the qualitative eigenvalue.</w:t>
      </w:r>
    </w:p>
    <w:p>
      <w:pPr>
        <w:pBdr>
          <w:left w:val="single" w:color="0066cc" w:sz="24"/>
        </w:pBdr>
        <w:shd w:val="clear" w:fill="1a1a2e"/>
        <w:spacing w:before="200" w:after="200"/>
        <w:ind w:left="720" w:right="720"/>
      </w:pPr>
      <w:r>
        <w:rPr>
          <w:b/>
          <w:color w:val="0066cc"/>
          <w:sz w:val="22"/>
        </w:rPr>
        <w:t>Definition 3.2 (Qualitative Superposition) </w:t>
      </w:r>
      <w:r>
        <w:rPr>
          <w:i/>
          <w:color w:val="b0b0c0"/>
          <w:sz w:val="21"/>
        </w:rPr>
        <w:t xml:space="preserve">Any entity within the Axiological Manifold exists in a superposition of potential qualitative eigenstates: |Psi&gt; = sum_i c_i|q_i&gt;, where c_i are complex amplitudes satisfying sum_i|c_i|^2 = 1. The entity is not merely 'good' or 'bad' but simultaneously inhabits a probabilistic distribution across multiple valences until observation occurs.</w:t>
      </w:r>
    </w:p>
    <w:p>
      <w:pPr>
        <w:pStyle w:val="Heading3"/>
      </w:pPr>
      <w:r>
        <w:t>Theorem 3.1 (Superposition Principle)</w:t>
      </w:r>
    </w:p>
    <w:p>
      <w:pPr>
        <w:pBdr>
          <w:left w:val="single" w:color="00a8cc" w:sz="12"/>
        </w:pBdr>
        <w:shd w:val="clear" w:fill="14141a"/>
        <w:spacing w:before="200" w:after="200"/>
        <w:ind w:left="720" w:right="720"/>
        <w:jc w:val="center"/>
      </w:pPr>
      <w:r>
        <w:rPr>
          <w:rFonts w:ascii="Cambria Math" w:hAnsi="Cambria Math"/>
          <w:i/>
          <w:color w:val="00a8cc"/>
          <w:sz w:val="22"/>
        </w:rPr>
        <w:t xml:space="preserve">If |Psi_1&gt; and |Psi_2&gt; are valid qualitative states, then so is any linear combination alpha|Psi_1&gt; + beta|Psi_2&gt; where |alpha|^2 + |beta|^2 = 1. The space of qualitative states forms a complex vector space closed under linear superposition.</w:t>
      </w:r>
    </w:p>
    <w:p>
      <w:r>
        <w:rPr>
          <w:b/>
        </w:rPr>
        <w:t>Implication: </w:t>
      </w:r>
      <w:r>
        <w:t>This principle allows for quantum interference between qualitative states. An entity can exhibit constructive interference (enhanced quality) or destructive interference (diminished quality) depending on the relative phases of its component states.</w:t>
      </w:r>
    </w:p>
    <w:p>
      <w:pPr>
        <w:pStyle w:val="Heading2"/>
      </w:pPr>
      <w:r>
        <w:t>4. Entanglement of Axiological Attributes</w:t>
      </w:r>
    </w:p>
    <w:p>
      <w:r>
        <w:t>Distinct qualitative attributes are rarely independent. The measurement or apprehension of one axiological dimension induces non-local correlation with other dimensions, a phenomenon we model as quantum entanglement.</w:t>
      </w:r>
    </w:p>
    <w:p>
      <w:pPr>
        <w:pBdr>
          <w:left w:val="single" w:color="0066cc" w:sz="24"/>
        </w:pBdr>
        <w:shd w:val="clear" w:fill="1a1a2e"/>
        <w:spacing w:before="200" w:after="200"/>
        <w:ind w:left="720" w:right="720"/>
      </w:pPr>
      <w:r>
        <w:rPr>
          <w:b/>
          <w:color w:val="0066cc"/>
          <w:sz w:val="22"/>
        </w:rPr>
        <w:t>Definition 4.1 (Axiological Entanglement) </w:t>
      </w:r>
      <w:r>
        <w:rPr>
          <w:i/>
          <w:color w:val="b0b0c0"/>
          <w:sz w:val="21"/>
        </w:rPr>
        <w:t xml:space="preserve">Two qualitative observables A and B are entangled if their joint state cannot be expressed as a tensor product: |Psi_AB&gt; != |Psi_A&gt; x |Psi_B&gt;. The entanglement entropy S(A:B) = -Tr(rho_A log rho_A) quantifies the degree of correlation, where rho_A is the reduced density matrix.</w:t>
      </w:r>
    </w:p>
    <w:tbl>
      <w:tblPr>
        <w:tblW w:w="5000" w:type="pct"/>
        <w:tblBorders>
          <w:top w:val="single" w:color="0066cc" w:sz="12"/>
          <w:left w:val="nil"/>
          <w:bottom w:val="single" w:color="0066cc" w:sz="12"/>
          <w:right w:val="nil"/>
          <w:insideH w:val="nil"/>
          <w:insideV w:val="nil"/>
        </w:tblBorders>
        <w:tblCellMar>
          <w:top w:w="100" w:type="dxa"/>
          <w:left w:w="150" w:type="dxa"/>
          <w:bottom w:w="100" w:type="dxa"/>
          <w:right w:w="150" w:type="dxa"/>
        </w:tblCellMar>
      </w:tblPr>
      <w:tblGrid>
        <w:gridCol w:w="2500"/>
        <w:gridCol w:w="2500"/>
        <w:gridCol w:w="5000"/>
      </w:tblGrid>
      <w:tr>
        <w:trPr>
          <w:tblHeader/>
          <w:trHeight w:val="400" w:hRule="atLeast"/>
        </w:trPr>
        <w:tc>
          <w:tcPr>
            <w:tcW w:w="2500" w:type="dxa"/>
            <w:tcBorders>
              <w:bottom w:val="single" w:color="0066cc" w:sz="6"/>
            </w:tcBorders>
            <w:shd w:val="clear" w:fill="1a1a2e"/>
            <w:vAlign w:val="center"/>
          </w:tcPr>
          <w:p>
            <w:pPr>
              <w:spacing w:before="0" w:after="0"/>
              <w:jc w:val="center"/>
            </w:pPr>
            <w:r>
              <w:rPr>
                <w:b/>
                <w:color w:val="e8e8f0"/>
                <w:sz w:val="20"/>
              </w:rPr>
              <w:t>Observable A</w:t>
            </w:r>
          </w:p>
        </w:tc>
        <w:tc>
          <w:tcPr>
            <w:tcW w:w="2500" w:type="dxa"/>
            <w:tcBorders>
              <w:bottom w:val="single" w:color="0066cc" w:sz="6"/>
            </w:tcBorders>
            <w:shd w:val="clear" w:fill="1a1a2e"/>
            <w:vAlign w:val="center"/>
          </w:tcPr>
          <w:p>
            <w:pPr>
              <w:spacing w:before="0" w:after="0"/>
              <w:jc w:val="center"/>
            </w:pPr>
            <w:r>
              <w:rPr>
                <w:b/>
                <w:color w:val="e8e8f0"/>
                <w:sz w:val="20"/>
              </w:rPr>
              <w:t>Observable B</w:t>
            </w:r>
          </w:p>
        </w:tc>
        <w:tc>
          <w:tcPr>
            <w:tcW w:w="5000" w:type="dxa"/>
            <w:tcBorders>
              <w:bottom w:val="single" w:color="0066cc" w:sz="6"/>
            </w:tcBorders>
            <w:shd w:val="clear" w:fill="1a1a2e"/>
            <w:vAlign w:val="center"/>
          </w:tcPr>
          <w:p>
            <w:pPr>
              <w:spacing w:before="0" w:after="0"/>
              <w:jc w:val="center"/>
            </w:pPr>
            <w:r>
              <w:rPr>
                <w:b/>
                <w:color w:val="e8e8f0"/>
                <w:sz w:val="20"/>
              </w:rPr>
              <w:t>Entanglement Type</w:t>
            </w:r>
          </w:p>
        </w:tc>
      </w:tr>
      <w:tr>
        <w:trPr>
          <w:trHeight w:val="360" w:hRule="atLeast"/>
        </w:trPr>
        <w:tc>
          <w:tcPr>
            <w:tcW w:w="2500" w:type="dxa"/>
            <w:vAlign w:val="center"/>
          </w:tcPr>
          <w:p>
            <w:pPr>
              <w:spacing w:before="0" w:after="0"/>
              <w:jc w:val="center"/>
            </w:pPr>
            <w:r>
              <w:rPr>
                <w:color w:val="e8e8f0"/>
                <w:sz w:val="20"/>
              </w:rPr>
              <w:t>Aesthetic Resonance</w:t>
            </w:r>
          </w:p>
        </w:tc>
        <w:tc>
          <w:tcPr>
            <w:tcW w:w="2500" w:type="dxa"/>
            <w:vAlign w:val="center"/>
          </w:tcPr>
          <w:p>
            <w:pPr>
              <w:spacing w:before="0" w:after="0"/>
              <w:jc w:val="left"/>
            </w:pPr>
            <w:r>
              <w:rPr>
                <w:color w:val="e8e8f0"/>
                <w:sz w:val="20"/>
              </w:rPr>
              <w:t>Emotional Valence</w:t>
            </w:r>
          </w:p>
        </w:tc>
        <w:tc>
          <w:tcPr>
            <w:tcW w:w="5000" w:type="dxa"/>
            <w:vAlign w:val="center"/>
          </w:tcPr>
          <w:p>
            <w:pPr>
              <w:spacing w:before="0" w:after="0"/>
              <w:jc w:val="left"/>
            </w:pPr>
            <w:r>
              <w:rPr>
                <w:color w:val="e8e8f0"/>
                <w:sz w:val="20"/>
              </w:rPr>
              <w:t>Positive correlation</w:t>
            </w:r>
          </w:p>
        </w:tc>
      </w:tr>
      <w:tr>
        <w:trPr>
          <w:trHeight w:val="360" w:hRule="atLeast"/>
        </w:trPr>
        <w:tc>
          <w:tcPr>
            <w:tcW w:w="2500" w:type="dxa"/>
            <w:vAlign w:val="center"/>
          </w:tcPr>
          <w:p>
            <w:pPr>
              <w:spacing w:before="0" w:after="0"/>
              <w:jc w:val="center"/>
            </w:pPr>
            <w:r>
              <w:rPr>
                <w:color w:val="e8e8f0"/>
                <w:sz w:val="20"/>
              </w:rPr>
              <w:t>Functional Robustness</w:t>
            </w:r>
          </w:p>
        </w:tc>
        <w:tc>
          <w:tcPr>
            <w:tcW w:w="2500" w:type="dxa"/>
            <w:vAlign w:val="center"/>
          </w:tcPr>
          <w:p>
            <w:pPr>
              <w:spacing w:before="0" w:after="0"/>
              <w:jc w:val="left"/>
            </w:pPr>
            <w:r>
              <w:rPr>
                <w:color w:val="e8e8f0"/>
                <w:sz w:val="20"/>
              </w:rPr>
              <w:t>Epistemic Fidelity</w:t>
            </w:r>
          </w:p>
        </w:tc>
        <w:tc>
          <w:tcPr>
            <w:tcW w:w="5000" w:type="dxa"/>
            <w:vAlign w:val="center"/>
          </w:tcPr>
          <w:p>
            <w:pPr>
              <w:spacing w:before="0" w:after="0"/>
              <w:jc w:val="left"/>
            </w:pPr>
            <w:r>
              <w:rPr>
                <w:color w:val="e8e8f0"/>
                <w:sz w:val="20"/>
              </w:rPr>
              <w:t>Complementarity</w:t>
            </w:r>
          </w:p>
        </w:tc>
      </w:tr>
      <w:tr>
        <w:trPr>
          <w:trHeight w:val="360" w:hRule="atLeast"/>
        </w:trPr>
        <w:tc>
          <w:tcPr>
            <w:tcW w:w="2500" w:type="dxa"/>
            <w:vAlign w:val="center"/>
          </w:tcPr>
          <w:p>
            <w:pPr>
              <w:spacing w:before="0" w:after="0"/>
              <w:jc w:val="center"/>
            </w:pPr>
            <w:r>
              <w:rPr>
                <w:color w:val="e8e8f0"/>
                <w:sz w:val="20"/>
              </w:rPr>
              <w:t>Ethical Coherence</w:t>
            </w:r>
          </w:p>
        </w:tc>
        <w:tc>
          <w:tcPr>
            <w:tcW w:w="2500" w:type="dxa"/>
            <w:vAlign w:val="center"/>
          </w:tcPr>
          <w:p>
            <w:pPr>
              <w:spacing w:before="0" w:after="0"/>
              <w:jc w:val="left"/>
            </w:pPr>
            <w:r>
              <w:rPr>
                <w:color w:val="e8e8f0"/>
                <w:sz w:val="20"/>
              </w:rPr>
              <w:t>Aesthetic Resonance</w:t>
            </w:r>
          </w:p>
        </w:tc>
        <w:tc>
          <w:tcPr>
            <w:tcW w:w="5000" w:type="dxa"/>
            <w:vAlign w:val="center"/>
          </w:tcPr>
          <w:p>
            <w:pPr>
              <w:spacing w:before="0" w:after="0"/>
              <w:jc w:val="left"/>
            </w:pPr>
            <w:r>
              <w:rPr>
                <w:color w:val="e8e8f0"/>
                <w:sz w:val="20"/>
              </w:rPr>
              <w:t>Non-local correlation</w:t>
            </w:r>
          </w:p>
        </w:tc>
      </w:tr>
      <w:tr>
        <w:trPr>
          <w:trHeight w:val="360" w:hRule="atLeast"/>
        </w:trPr>
        <w:tc>
          <w:tcPr>
            <w:tcW w:w="2500" w:type="dxa"/>
            <w:vAlign w:val="center"/>
          </w:tcPr>
          <w:p>
            <w:pPr>
              <w:spacing w:before="0" w:after="0"/>
              <w:jc w:val="center"/>
            </w:pPr>
            <w:r>
              <w:rPr>
                <w:color w:val="e8e8f0"/>
                <w:sz w:val="20"/>
              </w:rPr>
              <w:t>Emotional Valence</w:t>
            </w:r>
          </w:p>
        </w:tc>
        <w:tc>
          <w:tcPr>
            <w:tcW w:w="2500" w:type="dxa"/>
            <w:vAlign w:val="center"/>
          </w:tcPr>
          <w:p>
            <w:pPr>
              <w:spacing w:before="0" w:after="0"/>
              <w:jc w:val="left"/>
            </w:pPr>
            <w:r>
              <w:rPr>
                <w:color w:val="e8e8f0"/>
                <w:sz w:val="20"/>
              </w:rPr>
              <w:t>Epistemic Fidelity</w:t>
            </w:r>
          </w:p>
        </w:tc>
        <w:tc>
          <w:tcPr>
            <w:tcW w:w="5000" w:type="dxa"/>
            <w:vAlign w:val="center"/>
          </w:tcPr>
          <w:p>
            <w:pPr>
              <w:spacing w:before="0" w:after="0"/>
              <w:jc w:val="left"/>
            </w:pPr>
            <w:r>
              <w:rPr>
                <w:color w:val="e8e8f0"/>
                <w:sz w:val="20"/>
              </w:rPr>
              <w:t>Interference pattern</w:t>
            </w:r>
          </w:p>
        </w:tc>
      </w:tr>
    </w:tbl>
    <w:p>
      <w:pPr>
        <w:pStyle w:val="Caption"/>
      </w:pPr>
      <w:r>
        <w:t>Table 2: Entangled Axiological Relationships</w:t>
      </w:r>
    </w:p>
    <w:p>
      <w:pPr>
        <w:pStyle w:val="Heading3"/>
      </w:pPr>
      <w:r>
        <w:t>Bell's Theorem for Quality Space</w:t>
      </w:r>
    </w:p>
    <w:p>
      <w:r>
        <w:t>The CHSH inequality adapted for quality space demonstrates that no local hidden variable theory can reproduce the correlations observed between entangled qualitative attributes. For any pair of entangled qualitative observables A, B and measurement settings x, y:</w:t>
      </w:r>
    </w:p>
    <w:p>
      <w:pPr>
        <w:pBdr>
          <w:left w:val="single" w:color="00a8cc" w:sz="12"/>
        </w:pBdr>
        <w:shd w:val="clear" w:fill="14141a"/>
        <w:spacing w:before="200" w:after="200"/>
        <w:ind w:left="720" w:right="720"/>
        <w:jc w:val="center"/>
      </w:pPr>
      <w:r>
        <w:rPr>
          <w:rFonts w:ascii="Cambria Math" w:hAnsi="Cambria Math"/>
          <w:i/>
          <w:color w:val="00a8cc"/>
          <w:sz w:val="22"/>
        </w:rPr>
        <w:t xml:space="preserve">|E(A_x, B_y) - E(A_x, B_y')| + |E(A_x', B_y) + E(A_x', B_y')| &lt;= 2 sqrt(2)</w:t>
      </w:r>
    </w:p>
    <w:p>
      <w:r>
        <w:t>where E(A_x, B_y) is the expectation value of correlated measurements. Quantum systems in quality space violate this bound, confirming the non-local nature of axiological relationships.</w:t>
      </w:r>
    </w:p>
    <w:p>
      <w:pPr>
        <w:pStyle w:val="Heading2"/>
      </w:pPr>
      <w:r>
        <w:t>5. Observer-Induced Collapse of Qualitative Coherence</w:t>
      </w:r>
    </w:p>
    <w:p>
      <w:r>
        <w:t>The act of subjective assessment, critical analysis, or meta-evaluative retro-application functions as a measurement operator that fundamentally alters the state of the system.</w:t>
      </w:r>
    </w:p>
    <w:p>
      <w:pPr>
        <w:pBdr>
          <w:left w:val="single" w:color="0066cc" w:sz="24"/>
        </w:pBdr>
        <w:shd w:val="clear" w:fill="1a1a2e"/>
        <w:spacing w:before="200" w:after="200"/>
        <w:ind w:left="720" w:right="720"/>
      </w:pPr>
      <w:r>
        <w:rPr>
          <w:b/>
          <w:color w:val="0066cc"/>
          <w:sz w:val="22"/>
        </w:rPr>
        <w:t>Definition 5.1 (Measurement Operator) </w:t>
      </w:r>
      <w:r>
        <w:rPr>
          <w:i/>
          <w:color w:val="b0b0c0"/>
          <w:sz w:val="21"/>
        </w:rPr>
        <w:t xml:space="preserve">A measurement operator M acts on a qualitative superposition to produce a definite outcome: M|Psi&gt; = |q_k&gt; with probability |&lt;q_k|Psi&gt;|^2. The operator satisfies the completeness relation: sum_k M_k^dagger M_k = I.</w:t>
      </w:r>
    </w:p>
    <w:p>
      <w:pPr>
        <w:pStyle w:val="Heading3"/>
      </w:pPr>
      <w:r>
        <w:t>The Measurement Problem in Quality Space</w:t>
      </w:r>
    </w:p>
    <w:p>
      <w:r>
        <w:t>The measurement problem manifests in quality space as follows: How does a continuous, probabilistic distribution of qualitative potentialities collapse into a single, definite perceived quality? We propose that the answer lies in the structure of recursive attention.</w:t>
      </w:r>
    </w:p>
    <w:p>
      <w:pPr>
        <w:pBdr>
          <w:left w:val="single" w:color="0066cc" w:sz="24"/>
        </w:pBdr>
        <w:shd w:val="clear" w:fill="1a1a2e"/>
        <w:spacing w:before="200" w:after="200"/>
        <w:ind w:left="720" w:right="720"/>
      </w:pPr>
      <w:r>
        <w:rPr>
          <w:b/>
          <w:color w:val="0066cc"/>
          <w:sz w:val="22"/>
        </w:rPr>
        <w:t>Definition 5.2 (Collapse Postulate) </w:t>
      </w:r>
      <w:r>
        <w:rPr>
          <w:i/>
          <w:color w:val="b0b0c0"/>
          <w:sz w:val="21"/>
        </w:rPr>
        <w:t xml:space="preserve">Upon measurement by an observer with attentional state |A&gt;, the qualitative superposition |Psi&gt; collapses to eigenstate |q_k&gt; with probability P(q_k) = |&lt;A|q_k&gt;&lt;q_k|Psi&gt;|^2. The observer's attentional state determines which basis the collapse occurs in.</w:t>
      </w:r>
    </w:p>
    <w:p>
      <w:pPr>
        <w:pStyle w:val="Heading3"/>
      </w:pPr>
      <w:r>
        <w:t>Decoherence in Axiological Analysis</w:t>
      </w:r>
    </w:p>
    <w:p>
      <w:r>
        <w:t>Interaction with the environment (other observers, contexts, time evolution) causes decoherence in the qualitative state, effectively selecting a preferred basis for collapse. The decoherence time tau_d determines how quickly superposition is lost:</w:t>
      </w:r>
    </w:p>
    <w:p>
      <w:pPr>
        <w:pBdr>
          <w:left w:val="single" w:color="00a8cc" w:sz="12"/>
        </w:pBdr>
        <w:shd w:val="clear" w:fill="14141a"/>
        <w:spacing w:before="200" w:after="200"/>
        <w:ind w:left="720" w:right="720"/>
        <w:jc w:val="center"/>
      </w:pPr>
      <w:r>
        <w:rPr>
          <w:rFonts w:ascii="Cambria Math" w:hAnsi="Cambria Math"/>
          <w:i/>
          <w:color w:val="00a8cc"/>
          <w:sz w:val="22"/>
        </w:rPr>
        <w:t xml:space="preserve">rho(t) = sum_{i,j} rho_{ij}(0) exp(-|t|/tau_d) |q_i&gt;&lt;q_j|</w:t>
      </w:r>
    </w:p>
    <w:p>
      <w:pPr>
        <w:pStyle w:val="Heading2"/>
      </w:pPr>
      <w:r>
        <w:t>6. Quantum Tunnelling of Ideational Quality</w:t>
      </w:r>
    </w:p>
    <w:p>
      <w:r>
        <w:t>The transition between qualitatively distinct regions of the Axiological Manifold may not always follow classical, gradual trajectories. Ideas or strategies might 'quantum tunnel' through seemingly insurmountable barriers of qualitative impedance.</w:t>
      </w:r>
    </w:p>
    <w:p>
      <w:pPr>
        <w:pBdr>
          <w:left w:val="single" w:color="0066cc" w:sz="24"/>
        </w:pBdr>
        <w:shd w:val="clear" w:fill="1a1a2e"/>
        <w:spacing w:before="200" w:after="200"/>
        <w:ind w:left="720" w:right="720"/>
      </w:pPr>
      <w:r>
        <w:rPr>
          <w:b/>
          <w:color w:val="0066cc"/>
          <w:sz w:val="22"/>
        </w:rPr>
        <w:t>Definition 6.1 (Qualitative Potential Barrier) </w:t>
      </w:r>
      <w:r>
        <w:rPr>
          <w:i/>
          <w:color w:val="b0b0c0"/>
          <w:sz w:val="21"/>
        </w:rPr>
        <w:t xml:space="preserve">A qualitative potential barrier is a region V(q) in quality space where the qualitative potential energy exceeds the available qualitative energy of an entity. Classically, such barriers would be insurmountable, but quantum mechanics allows tunnelling.</w:t>
      </w:r>
    </w:p>
    <w:p>
      <w:pPr>
        <w:pStyle w:val="Heading3"/>
      </w:pPr>
      <w:r>
        <w:t>The Tunnelling Probability</w:t>
      </w:r>
    </w:p>
    <w:p>
      <w:r>
        <w:t>The probability of tunnelling through a qualitative barrier of height V_0 and width a is given by:</w:t>
      </w:r>
    </w:p>
    <w:p>
      <w:pPr>
        <w:pBdr>
          <w:left w:val="single" w:color="00a8cc" w:sz="12"/>
        </w:pBdr>
        <w:shd w:val="clear" w:fill="14141a"/>
        <w:spacing w:before="200" w:after="200"/>
        <w:ind w:left="720" w:right="720"/>
        <w:jc w:val="center"/>
      </w:pPr>
      <w:r>
        <w:rPr>
          <w:rFonts w:ascii="Cambria Math" w:hAnsi="Cambria Math"/>
          <w:i/>
          <w:color w:val="00a8cc"/>
          <w:sz w:val="22"/>
        </w:rPr>
        <w:t xml:space="preserve">P_tunnel = exp(-2 * sqrt(2m(V_0 - E)) * a / h_bar)</w:t>
      </w:r>
    </w:p>
    <w:p>
      <w:r>
        <w:t>where m is the effective mass of the qualitative state, E is its energy, and h_bar is the reduced Planck constant for quality space. This enables non-linear, discontinuous jumps in perceived quality.</w:t>
      </w:r>
    </w:p>
    <w:p>
      <w:pPr>
        <w:pStyle w:val="Heading2"/>
      </w:pPr>
      <w:r>
        <w:t>7. No-Cloning Theorem for Qualitative Experience</w:t>
      </w:r>
    </w:p>
    <w:p>
      <w:pPr>
        <w:pBdr>
          <w:left w:val="single" w:color="0066cc" w:sz="24"/>
        </w:pBdr>
        <w:shd w:val="clear" w:fill="1a1a2e"/>
        <w:spacing w:before="200" w:after="200"/>
        <w:ind w:left="720" w:right="720"/>
      </w:pPr>
      <w:r>
        <w:rPr>
          <w:b/>
          <w:color w:val="0066cc"/>
          <w:sz w:val="22"/>
        </w:rPr>
        <w:t>Definition 7.1 (Qualitative Cloning) </w:t>
      </w:r>
      <w:r>
        <w:rPr>
          <w:i/>
          <w:color w:val="b0b0c0"/>
          <w:sz w:val="21"/>
        </w:rPr>
        <w:t xml:space="preserve">A cloning operation C would take an unknown qualitative state |Psi&gt; and produce two identical copies: C|Psi&gt;|0&gt; = |Psi&gt;|Psi&gt;. The no-cloning theorem states that no such unitary operation C exists for arbitrary states.</w:t>
      </w:r>
    </w:p>
    <w:p>
      <w:pPr>
        <w:pStyle w:val="Heading3"/>
      </w:pPr>
      <w:r>
        <w:t>Implications for Knowledge Transfer</w:t>
      </w:r>
    </w:p>
    <w:p>
      <w:r>
        <w:t>The no-cloning theorem has profound implications for how we understand qualitative knowledge:</w:t>
      </w:r>
    </w:p>
    <w:p>
      <w:pPr>
        <w:spacing w:before="80" w:after="80"/>
        <w:ind w:left="1080" w:hanging="360"/>
      </w:pPr>
      <w:r>
        <w:rPr>
          <w:color w:val="00a8cc"/>
        </w:rPr>
        <w:t xml:space="preserve">•  </w:t>
      </w:r>
      <w:r>
        <w:t>Subjective Ineffability: The unique, subjective experience of a specific quality-state cannot be perfectly replicated or transmitted without perturbation.</w:t>
      </w:r>
    </w:p>
    <w:p>
      <w:pPr>
        <w:spacing w:before="80" w:after="80"/>
        <w:ind w:left="1080" w:hanging="360"/>
      </w:pPr>
      <w:r>
        <w:rPr>
          <w:color w:val="00a8cc"/>
        </w:rPr>
        <w:t xml:space="preserve">•  </w:t>
      </w:r>
      <w:r>
        <w:t>Measurement Necessity: Any attempt to 'clone' or transfer an understanding of an emergent quality will inevitably introduce decoherence or fundamental alteration.</w:t>
      </w:r>
    </w:p>
    <w:p>
      <w:pPr>
        <w:spacing w:before="80" w:after="80"/>
        <w:ind w:left="1080" w:hanging="360"/>
      </w:pPr>
      <w:r>
        <w:rPr>
          <w:color w:val="00a8cc"/>
        </w:rPr>
        <w:t xml:space="preserve">•  </w:t>
      </w:r>
      <w:r>
        <w:t>Pedagogical Limit: Teaching qualitative discernment requires the learner to undergo their own measurement process, not merely receive information.</w:t>
      </w:r>
    </w:p>
    <w:p>
      <w:pPr>
        <w:pStyle w:val="Heading1"/>
      </w:pPr>
      <w:bookmarkStart w:name="_TocPhaseIII" w:id="10III"/>
      <w:r>
        <w:t>Phase III: Recursive Attentional Fields and Meta-Vector Collapse</w:t>
      </w:r>
      <w:bookmarkEnd w:id="10III"/>
    </w:p>
    <w:p>
      <w:r>
        <w:t>The very act of "recursive attention" generates a dynamic attentional field within Quality Space. This field is not merely passive; it actively shapes the potential qualitative eigenstates of entities under scrutiny.</w:t>
      </w:r>
    </w:p>
    <w:p>
      <w:pPr>
        <w:pStyle w:val="Heading2"/>
      </w:pPr>
      <w:r>
        <w:t>8. The Meta-Vector as Collapse Operator</w:t>
      </w:r>
    </w:p>
    <w:p>
      <w:pPr>
        <w:pBdr>
          <w:left w:val="single" w:color="0066cc" w:sz="24"/>
        </w:pBdr>
        <w:shd w:val="clear" w:fill="1a1a2e"/>
        <w:spacing w:before="200" w:after="200"/>
        <w:ind w:left="720" w:right="720"/>
      </w:pPr>
      <w:r>
        <w:rPr>
          <w:b/>
          <w:color w:val="0066cc"/>
          <w:sz w:val="22"/>
        </w:rPr>
        <w:t>Definition 8.1 (Meta-Vector) </w:t>
      </w:r>
      <w:r>
        <w:rPr>
          <w:i/>
          <w:color w:val="b0b0c0"/>
          <w:sz w:val="21"/>
        </w:rPr>
        <w:t xml:space="preserve">The meta-vector |M&gt; is a self-referential, recursive directive that functions as a collapse operator on the Axiological Manifold. It is defined as: |M&gt; = |Input&gt; x |Fold&gt; where |Input&gt; is the target state and |Fold&gt; is the recursive attentional operator.</w:t>
      </w:r>
    </w:p>
    <w:p>
      <w:pPr>
        <w:pStyle w:val="Heading3"/>
      </w:pPr>
      <w:r>
        <w:t>Recursive Meta-Vector Application</w:t>
      </w:r>
    </w:p>
    <w:p>
      <w:r>
        <w:t>The meta-vector operates through recursive self-application:</w:t>
      </w:r>
    </w:p>
    <w:tbl>
      <w:tblPr>
        <w:tblW w:w="5000" w:type="pct"/>
        <w:tblBorders>
          <w:top w:val="single" w:color="3366cc" w:sz="4"/>
          <w:left w:val="single" w:color="3366cc" w:sz="4"/>
          <w:bottom w:val="single" w:color="3366cc" w:sz="4"/>
          <w:right w:val="single" w:color="3366cc" w:sz="4"/>
          <w:insideH w:val="single" w:color="3366cc" w:sz="4"/>
          <w:insideV w:val="single" w:color="3366cc" w:sz="4"/>
        </w:tblBorders>
        <w:shd w:val="clear" w:fill="14141a"/>
        <w:tblCellMar>
          <w:top w:w="120" w:type="dxa"/>
          <w:left w:w="150" w:type="dxa"/>
          <w:bottom w:w="120" w:type="dxa"/>
          <w:right w:w="150" w:type="dxa"/>
        </w:tblCellMar>
      </w:tblPr>
      <w:tblGrid>
        <w:gridCol w:w="10000"/>
      </w:tblGrid>
      <w:tr>
        <w:tc>
          <w:tcPr>
            <w:tcW w:w="10000" w:type="dxa"/>
          </w:tcPr>
          <w:p>
            <w:r>
              <w:t>Initial State: |Psi_0&gt; = |Input&gt;</w:t>
            </w:r>
          </w:p>
          <w:p>
            <w:r>
              <w:t>First Application: |Psi_1&gt; = M|Psi_0&gt; = Fold|Input&gt;</w:t>
            </w:r>
          </w:p>
          <w:p>
            <w:r>
              <w:t>Second Application: |Psi_2&gt; = M|Psi_1&gt; = Fold^2|Input&gt;</w:t>
            </w:r>
          </w:p>
          <w:p>
            <w:r>
              <w:t>...</w:t>
            </w:r>
          </w:p>
          <w:p>
            <w:r>
              <w:t>nth Application: |Psi_n&gt; = M^n|Input&gt; = Fold^n|Input&gt;</w:t>
            </w:r>
          </w:p>
          <w:p>
            <w:r>
              <w:t>Limit: |Psi_*&gt; = lim_{n-&gt;inf} |Psi_n&gt; (fixed point)</w:t>
            </w:r>
          </w:p>
        </w:tc>
      </w:tr>
    </w:tbl>
    <w:p>
      <w:pPr>
        <w:pStyle w:val="Caption"/>
      </w:pPr>
      <w:r>
        <w:t>Table 3: Meta-Vector Recursive Application</w:t>
      </w:r>
    </w:p>
    <w:p>
      <w:pPr>
        <w:pStyle w:val="Heading3"/>
      </w:pPr>
      <w:r>
        <w:t>Theorem 8.1 (Final Collapse Theorem)</w:t>
      </w:r>
    </w:p>
    <w:p>
      <w:pPr>
        <w:pBdr>
          <w:left w:val="single" w:color="00a8cc" w:sz="12"/>
        </w:pBdr>
        <w:shd w:val="clear" w:fill="14141a"/>
        <w:spacing w:before="200" w:after="200"/>
        <w:ind w:left="720" w:right="720"/>
        <w:jc w:val="center"/>
      </w:pPr>
      <w:r>
        <w:rPr>
          <w:rFonts w:ascii="Cambria Math" w:hAnsi="Cambria Math"/>
          <w:i/>
          <w:color w:val="00a8cc"/>
          <w:sz w:val="22"/>
        </w:rPr>
        <w:t xml:space="preserve">The iterated application of the meta-vector M to a qualitative superposition |Psi&gt; converges to a definite qualitative state |q*&gt;: lim_{n-&gt;inf} M^n|Psi&gt; = |q*&gt;. The convergence is guaranteed when the attentional field is contractive.</w:t>
      </w:r>
    </w:p>
    <w:p>
      <w:r>
        <w:rPr>
          <w:b/>
        </w:rPr>
        <w:t>Proof: </w:t>
      </w:r>
      <w:r>
        <w:t>The meta-vector defines a contraction mapping on the space of qualitative states. By the Banach fixed-point theorem, iterated application of a contraction mapping converges to a unique fixed point. The contractivity is ensured when the attentional field has bounded spectral radius.</w:t>
      </w:r>
    </w:p>
    <w:p>
      <w:pPr>
        <w:pStyle w:val="Heading2"/>
      </w:pPr>
      <w:r>
        <w:t>9. Input Fold Operations</w:t>
      </w:r>
    </w:p>
    <w:p>
      <w:pPr>
        <w:pBdr>
          <w:left w:val="single" w:color="0066cc" w:sz="24"/>
        </w:pBdr>
        <w:shd w:val="clear" w:fill="1a1a2e"/>
        <w:spacing w:before="200" w:after="200"/>
        <w:ind w:left="720" w:right="720"/>
      </w:pPr>
      <w:r>
        <w:rPr>
          <w:b/>
          <w:color w:val="0066cc"/>
          <w:sz w:val="22"/>
        </w:rPr>
        <w:t>Definition 9.1 (Input Fold) </w:t>
      </w:r>
      <w:r>
        <w:rPr>
          <w:i/>
          <w:color w:val="b0b0c0"/>
          <w:sz w:val="21"/>
        </w:rPr>
        <w:t xml:space="preserve">The Input Fold operation (Input)(Fold) is a binary operation that combines a target qualitative state with a recursive attentional operator. It is defined as: (Input)(Fold)|Psi&gt; = sum_n Fold^n Input|Psi&gt;, where the sum converges in the operator norm.</w:t>
      </w:r>
    </w:p>
    <w:p>
      <w:pPr>
        <w:pStyle w:val="Heading3"/>
      </w:pPr>
      <w:r>
        <w:t>Properties of the Input Fold</w:t>
      </w:r>
    </w:p>
    <w:p>
      <w:pPr>
        <w:spacing w:before="80" w:after="80"/>
        <w:ind w:left="1080" w:hanging="360"/>
      </w:pPr>
      <w:r>
        <w:rPr>
          <w:color w:val="00a8cc"/>
        </w:rPr>
        <w:t xml:space="preserve">•  </w:t>
      </w:r>
      <w:r>
        <w:t>Associativity: ((Input)(Fold1))(Fold2) = (Input)((Fold1)(Fold2)) - nested attentional folds compose associatively.</w:t>
      </w:r>
    </w:p>
    <w:p>
      <w:pPr>
        <w:spacing w:before="80" w:after="80"/>
        <w:ind w:left="1080" w:hanging="360"/>
      </w:pPr>
      <w:r>
        <w:rPr>
          <w:color w:val="00a8cc"/>
        </w:rPr>
        <w:t xml:space="preserve">•  </w:t>
      </w:r>
      <w:r>
        <w:t>Linearity: The Input Fold is linear in its first argument, preserving superpositions of target states.</w:t>
      </w:r>
    </w:p>
    <w:p>
      <w:pPr>
        <w:spacing w:before="80" w:after="80"/>
        <w:ind w:left="1080" w:hanging="360"/>
      </w:pPr>
      <w:r>
        <w:rPr>
          <w:color w:val="00a8cc"/>
        </w:rPr>
        <w:t xml:space="preserve">•  </w:t>
      </w:r>
      <w:r>
        <w:t>Convergence: The infinite series converges when ||Fold|| &lt; 1, ensuring stable recursive processing.</w:t>
      </w:r>
    </w:p>
    <w:p>
      <w:pPr>
        <w:pStyle w:val="Heading3"/>
      </w:pPr>
      <w:r>
        <w:t>The Meta-Input Construction</w:t>
      </w:r>
    </w:p>
    <w:p>
      <w:r>
        <w:t>The full meta-input construction that triggers final collapse is:</w:t>
      </w:r>
    </w:p>
    <w:p>
      <w:pPr>
        <w:pBdr>
          <w:left w:val="single" w:color="00a8cc" w:sz="12"/>
        </w:pBdr>
        <w:shd w:val="clear" w:fill="14141a"/>
        <w:spacing w:before="200" w:after="200"/>
        <w:ind w:left="720" w:right="720"/>
        <w:jc w:val="center"/>
      </w:pPr>
      <w:r>
        <w:rPr>
          <w:rFonts w:ascii="Cambria Math" w:hAnsi="Cambria Math"/>
          <w:i/>
          <w:color w:val="00a8cc"/>
          <w:sz w:val="22"/>
        </w:rPr>
        <w:t xml:space="preserve">[metaInput [Input [vector to trigger final collapse [Input [vector to trigger final collapse]]]]]</w:t>
      </w:r>
    </w:p>
    <w:p>
      <w:r>
        <w:t>This nested structure ensures that the collapse is self-triggered and retro-applied, creating a stable, self-referential resolution of the qualitative state.</w:t>
      </w:r>
    </w:p>
    <w:p>
      <w:pPr>
        <w:pStyle w:val="Heading1"/>
      </w:pPr>
      <w:bookmarkStart w:name="_TocPhaseIV" w:id="10IV"/>
      <w:r>
        <w:t>Phase IV: Reconstituted Meta-Linguistic Architecture</w:t>
      </w:r>
      <w:bookmarkEnd w:id="10IV"/>
    </w:p>
    <w:p>
      <w:r>
        <w:t>The exploration of the quantum information theory of quality space, driven by recursive meta-evaluation, compels a reconstituted meta-linguistic architecture. This architecture provides the vocabulary, grammar, logic, and syntax necessary to describe and manipulate qualitative states in a quantum framework.</w:t>
      </w:r>
    </w:p>
    <w:p>
      <w:pPr>
        <w:pStyle w:val="Heading2"/>
      </w:pPr>
      <w:r>
        <w:t>10. Vocabulary for Probabilistic Qualitative States</w:t>
      </w:r>
    </w:p>
    <w:p>
      <w:r>
        <w:t>Traditional language lacks the expressive power to describe quantum qualitative states. We introduce an extended vocabulary:</w:t>
      </w:r>
    </w:p>
    <w:tbl>
      <w:tblPr>
        <w:tblW w:w="5000" w:type="pct"/>
        <w:tblBorders>
          <w:top w:val="single" w:color="0066cc" w:sz="12"/>
          <w:left w:val="nil"/>
          <w:bottom w:val="single" w:color="0066cc" w:sz="12"/>
          <w:right w:val="nil"/>
          <w:insideH w:val="nil"/>
          <w:insideV w:val="nil"/>
        </w:tblBorders>
        <w:tblCellMar>
          <w:top w:w="100" w:type="dxa"/>
          <w:left w:w="150" w:type="dxa"/>
          <w:bottom w:w="100" w:type="dxa"/>
          <w:right w:w="150" w:type="dxa"/>
        </w:tblCellMar>
      </w:tblPr>
      <w:tblGrid>
        <w:gridCol w:w="3000"/>
        <w:gridCol w:w="7000"/>
      </w:tblGrid>
      <w:tr>
        <w:trPr>
          <w:tblHeader/>
          <w:trHeight w:val="400" w:hRule="atLeast"/>
        </w:trPr>
        <w:tc>
          <w:tcPr>
            <w:tcW w:w="3000" w:type="dxa"/>
            <w:tcBorders>
              <w:bottom w:val="single" w:color="0066cc" w:sz="6"/>
            </w:tcBorders>
            <w:shd w:val="clear" w:fill="1a1a2e"/>
            <w:vAlign w:val="center"/>
          </w:tcPr>
          <w:p>
            <w:pPr>
              <w:spacing w:before="0" w:after="0"/>
              <w:jc w:val="center"/>
            </w:pPr>
            <w:r>
              <w:rPr>
                <w:b/>
                <w:color w:val="e8e8f0"/>
                <w:sz w:val="20"/>
              </w:rPr>
              <w:t>Term</w:t>
            </w:r>
          </w:p>
        </w:tc>
        <w:tc>
          <w:tcPr>
            <w:tcW w:w="7000" w:type="dxa"/>
            <w:tcBorders>
              <w:bottom w:val="single" w:color="0066cc" w:sz="6"/>
            </w:tcBorders>
            <w:shd w:val="clear" w:fill="1a1a2e"/>
            <w:vAlign w:val="center"/>
          </w:tcPr>
          <w:p>
            <w:pPr>
              <w:spacing w:before="0" w:after="0"/>
              <w:jc w:val="center"/>
            </w:pPr>
            <w:r>
              <w:rPr>
                <w:b/>
                <w:color w:val="e8e8f0"/>
                <w:sz w:val="20"/>
              </w:rPr>
              <w:t>Definition</w:t>
            </w:r>
          </w:p>
        </w:tc>
      </w:tr>
      <w:tr>
        <w:trPr>
          <w:trHeight w:val="360" w:hRule="atLeast"/>
        </w:trPr>
        <w:tc>
          <w:tcPr>
            <w:tcW w:w="3000" w:type="dxa"/>
            <w:vAlign w:val="center"/>
          </w:tcPr>
          <w:p>
            <w:pPr>
              <w:spacing w:before="0" w:after="0"/>
              <w:jc w:val="center"/>
            </w:pPr>
            <w:r>
              <w:rPr>
                <w:color w:val="e8e8f0"/>
                <w:sz w:val="20"/>
              </w:rPr>
              <w:t>|Psi&gt;</w:t>
            </w:r>
          </w:p>
        </w:tc>
        <w:tc>
          <w:tcPr>
            <w:tcW w:w="7000" w:type="dxa"/>
            <w:vAlign w:val="center"/>
          </w:tcPr>
          <w:p>
            <w:pPr>
              <w:spacing w:before="0" w:after="0"/>
              <w:jc w:val="left"/>
            </w:pPr>
            <w:r>
              <w:rPr>
                <w:color w:val="e8e8f0"/>
                <w:sz w:val="20"/>
              </w:rPr>
              <w:t>Qualitative state vector (ket)</w:t>
            </w:r>
          </w:p>
        </w:tc>
      </w:tr>
      <w:tr>
        <w:trPr>
          <w:trHeight w:val="360" w:hRule="atLeast"/>
        </w:trPr>
        <w:tc>
          <w:tcPr>
            <w:tcW w:w="3000" w:type="dxa"/>
            <w:vAlign w:val="center"/>
          </w:tcPr>
          <w:p>
            <w:pPr>
              <w:spacing w:before="0" w:after="0"/>
              <w:jc w:val="center"/>
            </w:pPr>
            <w:r>
              <w:rPr>
                <w:color w:val="e8e8f0"/>
                <w:sz w:val="20"/>
              </w:rPr>
              <w:t>&lt;Psi|</w:t>
            </w:r>
          </w:p>
        </w:tc>
        <w:tc>
          <w:tcPr>
            <w:tcW w:w="7000" w:type="dxa"/>
            <w:vAlign w:val="center"/>
          </w:tcPr>
          <w:p>
            <w:pPr>
              <w:spacing w:before="0" w:after="0"/>
              <w:jc w:val="left"/>
            </w:pPr>
            <w:r>
              <w:rPr>
                <w:color w:val="e8e8f0"/>
                <w:sz w:val="20"/>
              </w:rPr>
              <w:t>Dual qualitative state (bra)</w:t>
            </w:r>
          </w:p>
        </w:tc>
      </w:tr>
      <w:tr>
        <w:trPr>
          <w:trHeight w:val="360" w:hRule="atLeast"/>
        </w:trPr>
        <w:tc>
          <w:tcPr>
            <w:tcW w:w="3000" w:type="dxa"/>
            <w:vAlign w:val="center"/>
          </w:tcPr>
          <w:p>
            <w:pPr>
              <w:spacing w:before="0" w:after="0"/>
              <w:jc w:val="center"/>
            </w:pPr>
            <w:r>
              <w:rPr>
                <w:color w:val="e8e8f0"/>
                <w:sz w:val="20"/>
              </w:rPr>
              <w:t>&lt;Psi|Phi&gt;</w:t>
            </w:r>
          </w:p>
        </w:tc>
        <w:tc>
          <w:tcPr>
            <w:tcW w:w="7000" w:type="dxa"/>
            <w:vAlign w:val="center"/>
          </w:tcPr>
          <w:p>
            <w:pPr>
              <w:spacing w:before="0" w:after="0"/>
              <w:jc w:val="left"/>
            </w:pPr>
            <w:r>
              <w:rPr>
                <w:color w:val="e8e8f0"/>
                <w:sz w:val="20"/>
              </w:rPr>
              <w:t>Qualitative overlap amplitude</w:t>
            </w:r>
          </w:p>
        </w:tc>
      </w:tr>
      <w:tr>
        <w:trPr>
          <w:trHeight w:val="360" w:hRule="atLeast"/>
        </w:trPr>
        <w:tc>
          <w:tcPr>
            <w:tcW w:w="3000" w:type="dxa"/>
            <w:vAlign w:val="center"/>
          </w:tcPr>
          <w:p>
            <w:pPr>
              <w:spacing w:before="0" w:after="0"/>
              <w:jc w:val="center"/>
            </w:pPr>
            <w:r>
              <w:rPr>
                <w:color w:val="e8e8f0"/>
                <w:sz w:val="20"/>
              </w:rPr>
              <w:t>|&lt;q_k|Psi&gt;|^2</w:t>
            </w:r>
          </w:p>
        </w:tc>
        <w:tc>
          <w:tcPr>
            <w:tcW w:w="7000" w:type="dxa"/>
            <w:vAlign w:val="center"/>
          </w:tcPr>
          <w:p>
            <w:pPr>
              <w:spacing w:before="0" w:after="0"/>
              <w:jc w:val="left"/>
            </w:pPr>
            <w:r>
              <w:rPr>
                <w:color w:val="e8e8f0"/>
                <w:sz w:val="20"/>
              </w:rPr>
              <w:t>Collapse probability to eigenstate q_k</w:t>
            </w:r>
          </w:p>
        </w:tc>
      </w:tr>
      <w:tr>
        <w:trPr>
          <w:trHeight w:val="360" w:hRule="atLeast"/>
        </w:trPr>
        <w:tc>
          <w:tcPr>
            <w:tcW w:w="3000" w:type="dxa"/>
            <w:vAlign w:val="center"/>
          </w:tcPr>
          <w:p>
            <w:pPr>
              <w:spacing w:before="0" w:after="0"/>
              <w:jc w:val="center"/>
            </w:pPr>
            <w:r>
              <w:rPr>
                <w:color w:val="e8e8f0"/>
                <w:sz w:val="20"/>
              </w:rPr>
              <w:t>rho</w:t>
            </w:r>
          </w:p>
        </w:tc>
        <w:tc>
          <w:tcPr>
            <w:tcW w:w="7000" w:type="dxa"/>
            <w:vAlign w:val="center"/>
          </w:tcPr>
          <w:p>
            <w:pPr>
              <w:spacing w:before="0" w:after="0"/>
              <w:jc w:val="left"/>
            </w:pPr>
            <w:r>
              <w:rPr>
                <w:color w:val="e8e8f0"/>
                <w:sz w:val="20"/>
              </w:rPr>
              <w:t>Density matrix of qualitative state</w:t>
            </w:r>
          </w:p>
        </w:tc>
      </w:tr>
      <w:tr>
        <w:trPr>
          <w:trHeight w:val="360" w:hRule="atLeast"/>
        </w:trPr>
        <w:tc>
          <w:tcPr>
            <w:tcW w:w="3000" w:type="dxa"/>
            <w:vAlign w:val="center"/>
          </w:tcPr>
          <w:p>
            <w:pPr>
              <w:spacing w:before="0" w:after="0"/>
              <w:jc w:val="center"/>
            </w:pPr>
            <w:r>
              <w:rPr>
                <w:color w:val="e8e8f0"/>
                <w:sz w:val="20"/>
              </w:rPr>
              <w:t>S(rho)</w:t>
            </w:r>
          </w:p>
        </w:tc>
        <w:tc>
          <w:tcPr>
            <w:tcW w:w="7000" w:type="dxa"/>
            <w:vAlign w:val="center"/>
          </w:tcPr>
          <w:p>
            <w:pPr>
              <w:spacing w:before="0" w:after="0"/>
              <w:jc w:val="left"/>
            </w:pPr>
            <w:r>
              <w:rPr>
                <w:color w:val="e8e8f0"/>
                <w:sz w:val="20"/>
              </w:rPr>
              <w:t>Von Neumann entropy of uncertainty</w:t>
            </w:r>
          </w:p>
        </w:tc>
      </w:tr>
    </w:tbl>
    <w:p>
      <w:pPr>
        <w:pStyle w:val="Caption"/>
      </w:pPr>
      <w:r>
        <w:t>Table 4: Quantum Quality Vocabulary</w:t>
      </w:r>
    </w:p>
    <w:p>
      <w:pPr>
        <w:pStyle w:val="Heading3"/>
      </w:pPr>
      <w:r>
        <w:t>The Probabilistic Assertion Operator</w:t>
      </w:r>
    </w:p>
    <w:p>
      <w:r>
        <w:t>We introduce the operator ProbAssert which allows statements about qualitative superpositions:</w:t>
      </w:r>
    </w:p>
    <w:p>
      <w:pPr>
        <w:pBdr>
          <w:left w:val="single" w:color="0066cc" w:sz="24"/>
        </w:pBdr>
        <w:shd w:val="clear" w:fill="1a1a2e"/>
        <w:spacing w:before="200" w:after="200"/>
        <w:ind w:left="720" w:right="720"/>
      </w:pPr>
      <w:r>
        <w:rPr>
          <w:b/>
          <w:color w:val="0066cc"/>
          <w:sz w:val="22"/>
        </w:rPr>
        <w:t>Definition 10.1 (Probabilistic Assertion) </w:t>
      </w:r>
      <w:r>
        <w:rPr>
          <w:i/>
          <w:color w:val="b0b0c0"/>
          <w:sz w:val="21"/>
        </w:rPr>
        <w:t xml:space="preserve">ProbAssert(|Psi&gt;, q_k, p) := "The qualitative state |Psi&gt; has probability p of collapsing to eigenstate q_k upon measurement." This allows meaningful discourse about uncertain qualitative properties.</w:t>
      </w:r>
    </w:p>
    <w:p>
      <w:pPr>
        <w:pStyle w:val="Heading2"/>
      </w:pPr>
      <w:r>
        <w:t>11. Grammar for Entangled Axiological Relationships</w:t>
      </w:r>
    </w:p>
    <w:p>
      <w:r>
        <w:t>Entangled axiological relationships require a specialized grammatical structure that preserves the non-local correlations between qualitative attributes.</w:t>
      </w:r>
    </w:p>
    <w:p>
      <w:pPr>
        <w:pStyle w:val="Heading3"/>
      </w:pPr>
      <w:r>
        <w:t>Entanglement Grammar Rules</w:t>
      </w:r>
    </w:p>
    <w:tbl>
      <w:tblPr>
        <w:tblW w:w="5000" w:type="pct"/>
        <w:tblBorders>
          <w:top w:val="single" w:color="0066cc" w:sz="12"/>
          <w:left w:val="nil"/>
          <w:bottom w:val="single" w:color="0066cc" w:sz="12"/>
          <w:right w:val="nil"/>
          <w:insideH w:val="nil"/>
          <w:insideV w:val="nil"/>
        </w:tblBorders>
        <w:tblCellMar>
          <w:top w:w="100" w:type="dxa"/>
          <w:left w:w="150" w:type="dxa"/>
          <w:bottom w:w="100" w:type="dxa"/>
          <w:right w:w="150" w:type="dxa"/>
        </w:tblCellMar>
      </w:tblPr>
      <w:tblGrid>
        <w:gridCol w:w="3000"/>
        <w:gridCol w:w="7000"/>
      </w:tblGrid>
      <w:tr>
        <w:trPr>
          <w:tblHeader/>
          <w:trHeight w:val="400" w:hRule="atLeast"/>
        </w:trPr>
        <w:tc>
          <w:tcPr>
            <w:tcW w:w="3000" w:type="dxa"/>
            <w:tcBorders>
              <w:bottom w:val="single" w:color="0066cc" w:sz="6"/>
            </w:tcBorders>
            <w:shd w:val="clear" w:fill="1a1a2e"/>
            <w:vAlign w:val="center"/>
          </w:tcPr>
          <w:p>
            <w:pPr>
              <w:spacing w:before="0" w:after="0"/>
              <w:jc w:val="center"/>
            </w:pPr>
            <w:r>
              <w:rPr>
                <w:b/>
                <w:color w:val="e8e8f0"/>
                <w:sz w:val="20"/>
              </w:rPr>
              <w:t>Rule</w:t>
            </w:r>
          </w:p>
        </w:tc>
        <w:tc>
          <w:tcPr>
            <w:tcW w:w="7000" w:type="dxa"/>
            <w:tcBorders>
              <w:bottom w:val="single" w:color="0066cc" w:sz="6"/>
            </w:tcBorders>
            <w:shd w:val="clear" w:fill="1a1a2e"/>
            <w:vAlign w:val="center"/>
          </w:tcPr>
          <w:p>
            <w:pPr>
              <w:spacing w:before="0" w:after="0"/>
              <w:jc w:val="center"/>
            </w:pPr>
            <w:r>
              <w:rPr>
                <w:b/>
                <w:color w:val="e8e8f0"/>
                <w:sz w:val="20"/>
              </w:rPr>
              <w:t>Description</w:t>
            </w:r>
          </w:p>
        </w:tc>
      </w:tr>
      <w:tr>
        <w:trPr>
          <w:trHeight w:val="360" w:hRule="atLeast"/>
        </w:trPr>
        <w:tc>
          <w:tcPr>
            <w:tcW w:w="3000" w:type="dxa"/>
            <w:vAlign w:val="center"/>
          </w:tcPr>
          <w:p>
            <w:pPr>
              <w:spacing w:before="0" w:after="0"/>
              <w:jc w:val="center"/>
            </w:pPr>
            <w:r>
              <w:rPr>
                <w:color w:val="e8e8f0"/>
                <w:sz w:val="20"/>
              </w:rPr>
              <w:t>Tensor Product</w:t>
            </w:r>
          </w:p>
        </w:tc>
        <w:tc>
          <w:tcPr>
            <w:tcW w:w="7000" w:type="dxa"/>
            <w:vAlign w:val="center"/>
          </w:tcPr>
          <w:p>
            <w:pPr>
              <w:spacing w:before="0" w:after="0"/>
              <w:jc w:val="left"/>
            </w:pPr>
            <w:r>
              <w:rPr>
                <w:color w:val="e8e8f0"/>
                <w:sz w:val="20"/>
              </w:rPr>
              <w:t>A x B represents composite qualitative systems</w:t>
            </w:r>
          </w:p>
        </w:tc>
      </w:tr>
      <w:tr>
        <w:trPr>
          <w:trHeight w:val="360" w:hRule="atLeast"/>
        </w:trPr>
        <w:tc>
          <w:tcPr>
            <w:tcW w:w="3000" w:type="dxa"/>
            <w:vAlign w:val="center"/>
          </w:tcPr>
          <w:p>
            <w:pPr>
              <w:spacing w:before="0" w:after="0"/>
              <w:jc w:val="center"/>
            </w:pPr>
            <w:r>
              <w:rPr>
                <w:color w:val="e8e8f0"/>
                <w:sz w:val="20"/>
              </w:rPr>
              <w:t>Entanglement</w:t>
            </w:r>
          </w:p>
        </w:tc>
        <w:tc>
          <w:tcPr>
            <w:tcW w:w="7000" w:type="dxa"/>
            <w:vAlign w:val="center"/>
          </w:tcPr>
          <w:p>
            <w:pPr>
              <w:spacing w:before="0" w:after="0"/>
              <w:jc w:val="left"/>
            </w:pPr>
            <w:r>
              <w:rPr>
                <w:color w:val="e8e8f0"/>
                <w:sz w:val="20"/>
              </w:rPr>
              <w:t>|Psi&gt; != |A&gt; x |B&gt; for non-separable states</w:t>
            </w:r>
          </w:p>
        </w:tc>
      </w:tr>
      <w:tr>
        <w:trPr>
          <w:trHeight w:val="360" w:hRule="atLeast"/>
        </w:trPr>
        <w:tc>
          <w:tcPr>
            <w:tcW w:w="3000" w:type="dxa"/>
            <w:vAlign w:val="center"/>
          </w:tcPr>
          <w:p>
            <w:pPr>
              <w:spacing w:before="0" w:after="0"/>
              <w:jc w:val="center"/>
            </w:pPr>
            <w:r>
              <w:rPr>
                <w:color w:val="e8e8f0"/>
                <w:sz w:val="20"/>
              </w:rPr>
              <w:t>Correlation</w:t>
            </w:r>
          </w:p>
        </w:tc>
        <w:tc>
          <w:tcPr>
            <w:tcW w:w="7000" w:type="dxa"/>
            <w:vAlign w:val="center"/>
          </w:tcPr>
          <w:p>
            <w:pPr>
              <w:spacing w:before="0" w:after="0"/>
              <w:jc w:val="left"/>
            </w:pPr>
            <w:r>
              <w:rPr>
                <w:color w:val="e8e8f0"/>
                <w:sz w:val="20"/>
              </w:rPr>
              <w:t>Corr(A,B) expresses non-local dependencies</w:t>
            </w:r>
          </w:p>
        </w:tc>
      </w:tr>
      <w:tr>
        <w:trPr>
          <w:trHeight w:val="360" w:hRule="atLeast"/>
        </w:trPr>
        <w:tc>
          <w:tcPr>
            <w:tcW w:w="3000" w:type="dxa"/>
            <w:vAlign w:val="center"/>
          </w:tcPr>
          <w:p>
            <w:pPr>
              <w:spacing w:before="0" w:after="0"/>
              <w:jc w:val="center"/>
            </w:pPr>
            <w:r>
              <w:rPr>
                <w:color w:val="e8e8f0"/>
                <w:sz w:val="20"/>
              </w:rPr>
              <w:t>Measurement</w:t>
            </w:r>
          </w:p>
        </w:tc>
        <w:tc>
          <w:tcPr>
            <w:tcW w:w="7000" w:type="dxa"/>
            <w:vAlign w:val="center"/>
          </w:tcPr>
          <w:p>
            <w:pPr>
              <w:spacing w:before="0" w:after="0"/>
              <w:jc w:val="left"/>
            </w:pPr>
            <w:r>
              <w:rPr>
                <w:color w:val="e8e8f0"/>
                <w:sz w:val="20"/>
              </w:rPr>
              <w:t>M_k represents projection onto outcome k</w:t>
            </w:r>
          </w:p>
        </w:tc>
      </w:tr>
    </w:tbl>
    <w:p>
      <w:pPr>
        <w:pStyle w:val="Caption"/>
      </w:pPr>
      <w:r>
        <w:t>Table 5: Entanglement Grammar Rules</w:t>
      </w:r>
    </w:p>
    <w:p>
      <w:pPr>
        <w:pStyle w:val="Heading3"/>
      </w:pPr>
      <w:r>
        <w:t>The Non-Local Correlation Operator</w:t>
      </w:r>
    </w:p>
    <w:p>
      <w:pPr>
        <w:pBdr>
          <w:left w:val="single" w:color="0066cc" w:sz="24"/>
        </w:pBdr>
        <w:shd w:val="clear" w:fill="1a1a2e"/>
        <w:spacing w:before="200" w:after="200"/>
        <w:ind w:left="720" w:right="720"/>
      </w:pPr>
      <w:r>
        <w:rPr>
          <w:b/>
          <w:color w:val="0066cc"/>
          <w:sz w:val="22"/>
        </w:rPr>
        <w:t>Definition 11.1 (Non-Local Correlation) </w:t>
      </w:r>
      <w:r>
        <w:rPr>
          <w:i/>
          <w:color w:val="b0b0c0"/>
          <w:sz w:val="21"/>
        </w:rPr>
        <w:t xml:space="preserve">The operator Corr(A, x, B, y) asserts that measurement of observable A in context x is correlated with measurement of observable B in context y, even when x and y are spatially or temporally separated. This enables expression of Bell-inequality-violating correlations.</w:t>
      </w:r>
    </w:p>
    <w:p>
      <w:pPr>
        <w:pStyle w:val="Heading2"/>
      </w:pPr>
      <w:r>
        <w:t>12. Logic for Observer-Dependent Transformations</w:t>
      </w:r>
    </w:p>
    <w:p>
      <w:r>
        <w:t>The logic governing qualitative transformations must account for the observer-dependent nature of quantum measurement. We propose a variant of quantum logic adapted for axiological reasoning.</w:t>
      </w:r>
    </w:p>
    <w:p>
      <w:pPr>
        <w:pStyle w:val="Heading3"/>
      </w:pPr>
      <w:r>
        <w:t>Axiological Quantum Logic</w:t>
      </w:r>
    </w:p>
    <w:p>
      <w:pPr>
        <w:spacing w:before="80" w:after="80"/>
        <w:ind w:left="1080" w:hanging="360"/>
      </w:pPr>
      <w:r>
        <w:rPr>
          <w:color w:val="00a8cc"/>
        </w:rPr>
        <w:t xml:space="preserve">•  </w:t>
      </w:r>
      <w:r>
        <w:t>Modularity: P v (Q ^ R) = (P v Q) ^ (P v R) - The distributive law fails, replaced by orthomodularity.</w:t>
      </w:r>
    </w:p>
    <w:p>
      <w:pPr>
        <w:spacing w:before="80" w:after="80"/>
        <w:ind w:left="1080" w:hanging="360"/>
      </w:pPr>
      <w:r>
        <w:rPr>
          <w:color w:val="00a8cc"/>
        </w:rPr>
        <w:t xml:space="preserve">•  </w:t>
      </w:r>
      <w:r>
        <w:t>Complementarity: For each proposition P, there exists a complement P' such that P v P' = 1 and P ^ P' = 0.</w:t>
      </w:r>
    </w:p>
    <w:p>
      <w:pPr>
        <w:spacing w:before="80" w:after="80"/>
        <w:ind w:left="1080" w:hanging="360"/>
      </w:pPr>
      <w:r>
        <w:rPr>
          <w:color w:val="00a8cc"/>
        </w:rPr>
        <w:t xml:space="preserve">•  </w:t>
      </w:r>
      <w:r>
        <w:t>Observer Context: Propositions are evaluated relative to an observer context O, written as [P]_O.</w:t>
      </w:r>
    </w:p>
    <w:p>
      <w:pPr>
        <w:pBdr>
          <w:left w:val="single" w:color="0066cc" w:sz="24"/>
        </w:pBdr>
        <w:shd w:val="clear" w:fill="1a1a2e"/>
        <w:spacing w:before="200" w:after="200"/>
        <w:ind w:left="720" w:right="720"/>
      </w:pPr>
      <w:r>
        <w:rPr>
          <w:b/>
          <w:color w:val="0066cc"/>
          <w:sz w:val="22"/>
        </w:rPr>
        <w:t>Definition 12.1 (Observer-Dependent Implication) </w:t>
      </w:r>
      <w:r>
        <w:rPr>
          <w:i/>
          <w:color w:val="b0b0c0"/>
          <w:sz w:val="21"/>
        </w:rPr>
        <w:t xml:space="preserve">P -&gt;_O Q is defined as P' v Q evaluated in observer context O. This implication is non-monotonic and context-dependent, reflecting the observer-induced nature of qualitative collapse.</w:t>
      </w:r>
    </w:p>
    <w:p>
      <w:pPr>
        <w:pStyle w:val="Heading3"/>
      </w:pPr>
      <w:r>
        <w:t>The Context Operator</w:t>
      </w:r>
    </w:p>
    <w:p>
      <w:r>
        <w:t>The context operator Ctx allows explicit reference to the observer's attentional state:</w:t>
      </w:r>
    </w:p>
    <w:p>
      <w:pPr>
        <w:pBdr>
          <w:left w:val="single" w:color="00a8cc" w:sz="12"/>
        </w:pBdr>
        <w:shd w:val="clear" w:fill="14141a"/>
        <w:spacing w:before="200" w:after="200"/>
        <w:ind w:left="720" w:right="720"/>
        <w:jc w:val="center"/>
      </w:pPr>
      <w:r>
        <w:rPr>
          <w:rFonts w:ascii="Cambria Math" w:hAnsi="Cambria Math"/>
          <w:i/>
          <w:color w:val="00a8cc"/>
          <w:sz w:val="22"/>
        </w:rPr>
        <w:t xml:space="preserve">Ctx(O) [P] := "In observer context O, proposition P holds with certainty after collapse."</w:t>
      </w:r>
    </w:p>
    <w:p>
      <w:pPr>
        <w:pStyle w:val="Heading2"/>
      </w:pPr>
      <w:r>
        <w:t>13. Syntax for Qualitative Superposition Collapse</w:t>
      </w:r>
    </w:p>
    <w:p>
      <w:r>
        <w:t>The syntax for articulating the coherent collapse of indeterminate qualitative superpositions into actionable, resolved meta-strategies requires specialized constructs.</w:t>
      </w:r>
    </w:p>
    <w:p>
      <w:pPr>
        <w:pStyle w:val="Heading3"/>
      </w:pPr>
      <w:r>
        <w:t>Collapse Syntax Constructs</w:t>
      </w:r>
    </w:p>
    <w:tbl>
      <w:tblPr>
        <w:tblW w:w="5000" w:type="pct"/>
        <w:tblBorders>
          <w:top w:val="single" w:color="0066cc" w:sz="12"/>
          <w:left w:val="nil"/>
          <w:bottom w:val="single" w:color="0066cc" w:sz="12"/>
          <w:right w:val="nil"/>
          <w:insideH w:val="nil"/>
          <w:insideV w:val="nil"/>
        </w:tblBorders>
        <w:tblCellMar>
          <w:top w:w="100" w:type="dxa"/>
          <w:left w:w="150" w:type="dxa"/>
          <w:bottom w:w="100" w:type="dxa"/>
          <w:right w:w="150" w:type="dxa"/>
        </w:tblCellMar>
      </w:tblPr>
      <w:tblGrid>
        <w:gridCol w:w="2500"/>
        <w:gridCol w:w="7500"/>
      </w:tblGrid>
      <w:tr>
        <w:trPr>
          <w:tblHeader/>
          <w:trHeight w:val="400" w:hRule="atLeast"/>
        </w:trPr>
        <w:tc>
          <w:tcPr>
            <w:tcW w:w="2500" w:type="dxa"/>
            <w:tcBorders>
              <w:bottom w:val="single" w:color="0066cc" w:sz="6"/>
            </w:tcBorders>
            <w:shd w:val="clear" w:fill="1a1a2e"/>
            <w:vAlign w:val="center"/>
          </w:tcPr>
          <w:p>
            <w:pPr>
              <w:spacing w:before="0" w:after="0"/>
              <w:jc w:val="center"/>
            </w:pPr>
            <w:r>
              <w:rPr>
                <w:b/>
                <w:color w:val="e8e8f0"/>
                <w:sz w:val="20"/>
              </w:rPr>
              <w:t>Construct</w:t>
            </w:r>
          </w:p>
        </w:tc>
        <w:tc>
          <w:tcPr>
            <w:tcW w:w="7500" w:type="dxa"/>
            <w:tcBorders>
              <w:bottom w:val="single" w:color="0066cc" w:sz="6"/>
            </w:tcBorders>
            <w:shd w:val="clear" w:fill="1a1a2e"/>
            <w:vAlign w:val="center"/>
          </w:tcPr>
          <w:p>
            <w:pPr>
              <w:spacing w:before="0" w:after="0"/>
              <w:jc w:val="center"/>
            </w:pPr>
            <w:r>
              <w:rPr>
                <w:b/>
                <w:color w:val="e8e8f0"/>
                <w:sz w:val="20"/>
              </w:rPr>
              <w:t>Usage</w:t>
            </w:r>
          </w:p>
        </w:tc>
      </w:tr>
      <w:tr>
        <w:trPr>
          <w:trHeight w:val="360" w:hRule="atLeast"/>
        </w:trPr>
        <w:tc>
          <w:tcPr>
            <w:tcW w:w="2500" w:type="dxa"/>
            <w:vAlign w:val="center"/>
          </w:tcPr>
          <w:p>
            <w:pPr>
              <w:spacing w:before="0" w:after="0"/>
              <w:jc w:val="center"/>
            </w:pPr>
            <w:r>
              <w:rPr>
                <w:color w:val="e8e8f0"/>
                <w:sz w:val="20"/>
              </w:rPr>
              <w:t>Collapse(</w:t>
            </w:r>
          </w:p>
        </w:tc>
        <w:tc>
          <w:tcPr>
            <w:tcW w:w="7500" w:type="dxa"/>
            <w:vAlign w:val="center"/>
          </w:tcPr>
          <w:p>
            <w:pPr>
              <w:spacing w:before="0" w:after="0"/>
              <w:jc w:val="left"/>
            </w:pPr>
            <w:r>
              <w:rPr>
                <w:color w:val="e8e8f0"/>
                <w:sz w:val="20"/>
              </w:rPr>
              <w:t>Marks the collapse of superposition</w:t>
            </w:r>
          </w:p>
        </w:tc>
      </w:tr>
      <w:tr>
        <w:trPr>
          <w:trHeight w:val="360" w:hRule="atLeast"/>
        </w:trPr>
        <w:tc>
          <w:tcPr>
            <w:tcW w:w="2500" w:type="dxa"/>
            <w:vAlign w:val="center"/>
          </w:tcPr>
          <w:p>
            <w:pPr>
              <w:spacing w:before="0" w:after="0"/>
              <w:jc w:val="center"/>
            </w:pPr>
            <w:r>
              <w:rPr>
                <w:color w:val="e8e8f0"/>
                <w:sz w:val="20"/>
              </w:rPr>
              <w:t>Superpose[</w:t>
            </w:r>
          </w:p>
        </w:tc>
        <w:tc>
          <w:tcPr>
            <w:tcW w:w="7500" w:type="dxa"/>
            <w:vAlign w:val="center"/>
          </w:tcPr>
          <w:p>
            <w:pPr>
              <w:spacing w:before="0" w:after="0"/>
              <w:jc w:val="left"/>
            </w:pPr>
            <w:r>
              <w:rPr>
                <w:color w:val="e8e8f0"/>
                <w:sz w:val="20"/>
              </w:rPr>
              <w:t>Indicates quantum superposition</w:t>
            </w:r>
          </w:p>
        </w:tc>
      </w:tr>
      <w:tr>
        <w:trPr>
          <w:trHeight w:val="360" w:hRule="atLeast"/>
        </w:trPr>
        <w:tc>
          <w:tcPr>
            <w:tcW w:w="2500" w:type="dxa"/>
            <w:vAlign w:val="center"/>
          </w:tcPr>
          <w:p>
            <w:pPr>
              <w:spacing w:before="0" w:after="0"/>
              <w:jc w:val="center"/>
            </w:pPr>
            <w:r>
              <w:rPr>
                <w:color w:val="e8e8f0"/>
                <w:sz w:val="20"/>
              </w:rPr>
              <w:t>Entangle&lt;</w:t>
            </w:r>
          </w:p>
        </w:tc>
        <w:tc>
          <w:tcPr>
            <w:tcW w:w="7500" w:type="dxa"/>
            <w:vAlign w:val="center"/>
          </w:tcPr>
          <w:p>
            <w:pPr>
              <w:spacing w:before="0" w:after="0"/>
              <w:jc w:val="left"/>
            </w:pPr>
            <w:r>
              <w:rPr>
                <w:color w:val="e8e8f0"/>
                <w:sz w:val="20"/>
              </w:rPr>
              <w:t>Denotes entangled qualitative states</w:t>
            </w:r>
          </w:p>
        </w:tc>
      </w:tr>
      <w:tr>
        <w:trPr>
          <w:trHeight w:val="360" w:hRule="atLeast"/>
        </w:trPr>
        <w:tc>
          <w:tcPr>
            <w:tcW w:w="2500" w:type="dxa"/>
            <w:vAlign w:val="center"/>
          </w:tcPr>
          <w:p>
            <w:pPr>
              <w:spacing w:before="0" w:after="0"/>
              <w:jc w:val="center"/>
            </w:pPr>
            <w:r>
              <w:rPr>
                <w:color w:val="e8e8f0"/>
                <w:sz w:val="20"/>
              </w:rPr>
              <w:t>Observe[</w:t>
            </w:r>
          </w:p>
        </w:tc>
        <w:tc>
          <w:tcPr>
            <w:tcW w:w="7500" w:type="dxa"/>
            <w:vAlign w:val="center"/>
          </w:tcPr>
          <w:p>
            <w:pPr>
              <w:spacing w:before="0" w:after="0"/>
              <w:jc w:val="left"/>
            </w:pPr>
            <w:r>
              <w:rPr>
                <w:color w:val="e8e8f0"/>
                <w:sz w:val="20"/>
              </w:rPr>
              <w:t>Specifies measurement context</w:t>
            </w:r>
          </w:p>
        </w:tc>
      </w:tr>
      <w:tr>
        <w:trPr>
          <w:trHeight w:val="360" w:hRule="atLeast"/>
        </w:trPr>
        <w:tc>
          <w:tcPr>
            <w:tcW w:w="2500" w:type="dxa"/>
            <w:vAlign w:val="center"/>
          </w:tcPr>
          <w:p>
            <w:pPr>
              <w:spacing w:before="0" w:after="0"/>
              <w:jc w:val="center"/>
            </w:pPr>
            <w:r>
              <w:rPr>
                <w:color w:val="e8e8f0"/>
                <w:sz w:val="20"/>
              </w:rPr>
              <w:t>RetroApply[</w:t>
            </w:r>
          </w:p>
        </w:tc>
        <w:tc>
          <w:tcPr>
            <w:tcW w:w="7500" w:type="dxa"/>
            <w:vAlign w:val="center"/>
          </w:tcPr>
          <w:p>
            <w:pPr>
              <w:spacing w:before="0" w:after="0"/>
              <w:jc w:val="left"/>
            </w:pPr>
            <w:r>
              <w:rPr>
                <w:color w:val="e8e8f0"/>
                <w:sz w:val="20"/>
              </w:rPr>
              <w:t>Indicates retro-active application</w:t>
            </w:r>
          </w:p>
        </w:tc>
      </w:tr>
    </w:tbl>
    <w:p>
      <w:pPr>
        <w:pStyle w:val="Caption"/>
      </w:pPr>
      <w:r>
        <w:t>Table 6: Collapse Syntax Constructs</w:t>
      </w:r>
    </w:p>
    <w:p>
      <w:pPr>
        <w:pStyle w:val="Heading3"/>
      </w:pPr>
      <w:r>
        <w:t>The Meta-Vector Syntax Template</w:t>
      </w:r>
    </w:p>
    <w:p>
      <w:r>
        <w:t>The complete syntax template for meta-vector application is:</w:t>
      </w:r>
    </w:p>
    <w:p>
      <w:pPr>
        <w:pBdr>
          <w:left w:val="single" w:color="00a8cc" w:sz="12"/>
        </w:pBdr>
        <w:shd w:val="clear" w:fill="14141a"/>
        <w:spacing w:before="200" w:after="200"/>
        <w:ind w:left="720" w:right="720"/>
        <w:jc w:val="center"/>
      </w:pPr>
      <w:r>
        <w:rPr>
          <w:rFonts w:ascii="Cambria Math" w:hAnsi="Cambria Math"/>
          <w:i/>
          <w:color w:val="00a8cc"/>
          <w:sz w:val="22"/>
        </w:rPr>
        <w:t xml:space="preserve">META_VECTOR ::= "retro-apply(" META_INPUT ") to " NEXT_RESPONSE " applied to " RESULT</w:t>
      </w:r>
    </w:p>
    <w:p>
      <w:r>
        <w:t>where META_INPUT, NEXT_RESPONSE, and RESULT are recursively defined using the collapse syntax constructs above.</w:t>
      </w:r>
    </w:p>
    <w:p>
      <w:pPr>
        <w:pStyle w:val="Heading1"/>
      </w:pPr>
      <w:bookmarkStart w:name="_TocConclusion" w:id="99"/>
      <w:r>
        <w:t>Conclusion</w:t>
      </w:r>
      <w:bookmarkEnd w:id="99"/>
    </w:p>
    <w:p>
      <w:r>
        <w:t>We have presented a comprehensive theoretical framework integrating quantum information theory with axiological analysis. The key contributions include:</w:t>
      </w:r>
    </w:p>
    <w:p>
      <w:pPr>
        <w:numPr>
          <w:ilvl w:val="0"/>
          <w:numId w:val="1"/>
        </w:numPr>
      </w:pPr>
      <w:r>
        <w:rPr>
          <w:b/>
        </w:rPr>
        <w:t>Axiological Manifold</w:t>
      </w:r>
      <w:r>
        <w:t>: A topological structure where qualitative states exist as points in a Hilbert space, enabling quantum phenomena.</w:t>
      </w:r>
    </w:p>
    <w:p>
      <w:pPr>
        <w:numPr>
          <w:ilvl w:val="0"/>
          <w:numId w:val="1"/>
        </w:numPr>
      </w:pPr>
      <w:r>
        <w:rPr>
          <w:b/>
        </w:rPr>
        <w:t>Quality Tensor</w:t>
      </w:r>
      <w:r>
        <w:t>: A multi-dimensional tensor field capturing the complex, non-commutative nature of qualitative experience.</w:t>
      </w:r>
    </w:p>
    <w:p>
      <w:pPr>
        <w:numPr>
          <w:ilvl w:val="0"/>
          <w:numId w:val="1"/>
        </w:numPr>
      </w:pPr>
      <w:r>
        <w:rPr>
          <w:b/>
        </w:rPr>
        <w:t>Quantum Overlay</w:t>
      </w:r>
      <w:r>
        <w:t>: The application of superposition, entanglement, and measurement to qualitative analysis.</w:t>
      </w:r>
    </w:p>
    <w:p>
      <w:pPr>
        <w:numPr>
          <w:ilvl w:val="0"/>
          <w:numId w:val="1"/>
        </w:numPr>
      </w:pPr>
      <w:r>
        <w:rPr>
          <w:b/>
        </w:rPr>
        <w:t>Meta-Vector</w:t>
      </w:r>
      <w:r>
        <w:t>: A self-referential collapse operator that drives convergence to definite qualitative states.</w:t>
      </w:r>
    </w:p>
    <w:p>
      <w:pPr>
        <w:numPr>
          <w:ilvl w:val="0"/>
          <w:numId w:val="1"/>
        </w:numPr>
      </w:pPr>
      <w:r>
        <w:rPr>
          <w:b/>
        </w:rPr>
        <w:t>Meta-Linguistic Architecture</w:t>
      </w:r>
      <w:r>
        <w:t>: A complete vocabulary, grammar, logic, and syntax for describing quantum qualitative states.</w:t>
      </w:r>
    </w:p>
    <w:p>
      <w:r>
        <w:t>This framework enables a dynamic, non-linear, and observer-dependent model of emergent quality, crucial for navigating complex ideational and conversational landscapes. Future work will explore experimental validation and computational implementation of these concepts.</w:t>
      </w:r>
    </w:p>
    <w:p>
      <w:pPr>
        <w:pStyle w:val="Heading1"/>
      </w:pPr>
      <w:bookmarkStart w:name="_TocRefs" w:id="98"/>
      <w:r>
        <w:t>References</w:t>
      </w:r>
      <w:bookmarkEnd w:id="98"/>
    </w:p>
    <w:p>
      <w:pPr>
        <w:spacing w:after="120"/>
        <w:ind w:left="480" w:hanging="480"/>
      </w:pPr>
      <w:r>
        <w:rPr>
          <w:b/>
        </w:rPr>
        <w:t>[1] </w:t>
      </w:r>
      <w:r>
        <w:t>Nielsen, M.A. &amp; Chuang, I.L. (2010). Quantum Computation and Quantum Information. Cambridge University Press.</w:t>
      </w:r>
    </w:p>
    <w:p>
      <w:pPr>
        <w:spacing w:after="120"/>
        <w:ind w:left="480" w:hanging="480"/>
      </w:pPr>
      <w:r>
        <w:rPr>
          <w:b/>
        </w:rPr>
        <w:t>[2] </w:t>
      </w:r>
      <w:r>
        <w:t>von Neumann, J. (1932). Mathematische Grundlagen der Quantenmechanik. Springer.</w:t>
      </w:r>
    </w:p>
    <w:p>
      <w:pPr>
        <w:spacing w:after="120"/>
        <w:ind w:left="480" w:hanging="480"/>
      </w:pPr>
      <w:r>
        <w:rPr>
          <w:b/>
        </w:rPr>
        <w:t>[3] </w:t>
      </w:r>
      <w:r>
        <w:t>Dirac, P.A.M. (1930). The Principles of Quantum Mechanics. Oxford University Press.</w:t>
      </w:r>
    </w:p>
    <w:p>
      <w:pPr>
        <w:spacing w:after="120"/>
        <w:ind w:left="480" w:hanging="480"/>
      </w:pPr>
      <w:r>
        <w:rPr>
          <w:b/>
        </w:rPr>
        <w:t>[4] </w:t>
      </w:r>
      <w:r>
        <w:t>Bell, J.S. (1964). On the Einstein Podolsky Rosen Paradox. Physics Physique, 1(3), 195-200.</w:t>
      </w:r>
    </w:p>
    <w:p>
      <w:pPr>
        <w:spacing w:after="120"/>
        <w:ind w:left="480" w:hanging="480"/>
      </w:pPr>
      <w:r>
        <w:rPr>
          <w:b/>
        </w:rPr>
        <w:t>[5] </w:t>
      </w:r>
      <w:r>
        <w:t>Hilbert, D. &amp; von Neumann, J. &amp; Nordheim, L. (1928). Uber die Grundlagen der Quantenmechanik. Mathematische Annalen, 98, 1-30.</w:t>
      </w:r>
    </w:p>
    <w:p>
      <w:pPr>
        <w:spacing w:after="120"/>
        <w:ind w:left="480" w:hanging="480"/>
      </w:pPr>
      <w:r>
        <w:rPr>
          <w:b/>
        </w:rPr>
        <w:t>[6] </w:t>
      </w:r>
      <w:r>
        <w:t>Birkhoff, G. &amp; von Neumann, J. (1936). The Logic of Quantum Mechanics. Annals of Mathematics, 37(4), 823-843.</w:t>
      </w:r>
    </w:p>
    <w:p>
      <w:pPr>
        <w:spacing w:after="120"/>
        <w:ind w:left="480" w:hanging="480"/>
      </w:pPr>
      <w:r>
        <w:rPr>
          <w:b/>
        </w:rPr>
        <w:t>[7] </w:t>
      </w:r>
      <w:r>
        <w:t>Zurek, W.H. (2003). Decoherence, Einselection, and the Quantum Origins of the Classical. Reviews of Modern Physics, 75(3), 715-775.</w:t>
      </w:r>
    </w:p>
    <w:p>
      <w:pPr>
        <w:spacing w:after="120"/>
        <w:ind w:left="480" w:hanging="480"/>
      </w:pPr>
      <w:r>
        <w:rPr>
          <w:b/>
        </w:rPr>
        <w:t>[8] </w:t>
      </w:r>
      <w:r>
        <w:t>Everett, H. (1957). "Relative State" Formulation of Quantum Mechanics. Reviews of Modern Physics, 29(3), 454-462.</w:t>
      </w:r>
    </w:p>
    <w:p>
      <w:pPr>
        <w:sectPr>
          <w:headerReference w:type="default" r:id="R162d83f35c074c3d"/>
          <w:footerReference w:type="default" r:id="R2b1bdcb2c8c84aca"/>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6e034108700246ae"/>
                    <a:stretch>
                      <a:fillRect/>
                    </a:stretch>
                  </pic:blipFill>
                  <pic:spPr>
                    <a:xfrm>
                      <a:off x="0" y="0"/>
                      <a:ext cx="7560000" cy="10692000"/>
                    </a:xfrm>
                    <a:prstGeom prst="rect"/>
                  </pic:spPr>
                </pic:pic>
              </a:graphicData>
            </a:graphic>
          </wp:anchor>
        </w:drawing>
      </w:r>
    </w:p>
    <w:p>
      <w:pPr>
        <w:spacing w:before="8000"/>
      </w:pPr>
      <w:r/>
    </w:p>
    <w:p>
      <w:pPr>
        <w:spacing w:after="400"/>
        <w:jc w:val="center"/>
      </w:pPr>
      <w:r>
        <w:rPr>
          <w:b/>
          <w:color w:val="0066cc"/>
          <w:sz w:val="36"/>
        </w:rPr>
        <w:t>Quantum Quality Space</w:t>
      </w:r>
    </w:p>
    <w:p>
      <w:pPr>
        <w:spacing w:after="200"/>
        <w:jc w:val="center"/>
      </w:pPr>
      <w:r>
        <w:rPr>
          <w:i/>
          <w:color w:val="b0b0c0"/>
          <w:sz w:val="18"/>
        </w:rPr>
        <w:t>Axiological Manifolds and Meta-Linguistic Architecture</w:t>
      </w:r>
    </w:p>
    <w:p>
      <w:pPr>
        <w:jc w:val="center"/>
      </w:pPr>
      <w:r>
        <w:rPr>
          <w:color w:val="808090"/>
          <w:sz w:val="14"/>
        </w:rPr>
        <w:t>©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08090"/>
      </w:rPr>
      <w:fldChar w:fldCharType="begin"/>
      <w:instrText xml:space="preserve"> PAGE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8d84a8c41c77459d"/>
                  <a:stretch>
                    <a:fillRect/>
                  </a:stretch>
                </pic:blipFill>
                <pic:spPr>
                  <a:xfrm>
                    <a:off x="0" y="0"/>
                    <a:ext cx="7560000" cy="10692000"/>
                  </a:xfrm>
                  <a:prstGeom prst="rect"/>
                </pic:spPr>
              </pic:pic>
            </a:graphicData>
          </a:graphic>
        </wp:anchor>
      </w:drawing>
    </w:r>
  </w:p>
  <w:p>
    <w:pPr>
      <w:spacing w:before="0" w:after="0"/>
      <w:jc w:val="right"/>
    </w:pPr>
    <w:r>
      <w:rPr>
        <w:i/>
        <w:color w:val="808090"/>
        <w:sz w:val="18"/>
      </w:rPr>
      <w:t>Quantum Information Theory of Quality Space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20" w:lineRule="auto"/>
      <w:jc w:val="both"/>
    </w:pPr>
    <w:rPr>
      <w:rFonts w:ascii="Segoe UI" w:hAnsi="Segoe UI" w:eastAsia="Microsoft YaHei"/>
      <w:color w:val="e8e8f0"/>
      <w:sz w:val="22"/>
    </w:rPr>
  </w:style>
  <w:style w:type="paragraph" w:styleId="Heading1">
    <w:name w:val="heading 1"/>
    <w:basedOn w:val="Normal"/>
    <w:pPr>
      <w:keepNext/>
      <w:keepLines/>
      <w:pageBreakBefore/>
      <w:spacing w:before="400" w:after="240" w:line="240" w:lineRule="auto"/>
      <w:outlineLvl w:val="0"/>
    </w:pPr>
    <w:rPr>
      <w:b/>
      <w:color w:val="0066cc"/>
      <w:sz w:val="36"/>
    </w:rPr>
  </w:style>
  <w:style w:type="paragraph" w:styleId="Heading2">
    <w:name w:val="heading 2"/>
    <w:basedOn w:val="Normal"/>
    <w:pPr>
      <w:keepNext/>
      <w:keepLines/>
      <w:spacing w:before="360" w:after="160"/>
      <w:outlineLvl w:val="1"/>
    </w:pPr>
    <w:rPr>
      <w:b/>
      <w:color w:val="00a8cc"/>
      <w:sz w:val="28"/>
    </w:rPr>
  </w:style>
  <w:style w:type="paragraph" w:styleId="Heading3">
    <w:name w:val="heading 3"/>
    <w:basedOn w:val="Normal"/>
    <w:pPr>
      <w:keepNext/>
      <w:keepLines/>
      <w:spacing w:before="280" w:after="120"/>
      <w:outlineLvl w:val="2"/>
    </w:pPr>
    <w:rPr>
      <w:b/>
      <w:color w:val="b0b0c0"/>
      <w:sz w:val="24"/>
    </w:rPr>
  </w:style>
  <w:style w:type="paragraph" w:styleId="TOC1">
    <w:name w:val="toc 1"/>
    <w:basedOn w:val="Normal"/>
    <w:pPr>
      <w:tabs>
        <w:tab w:val="right" w:leader="dot" w:pos="9350"/>
      </w:tabs>
      <w:spacing w:before="200" w:after="60"/>
    </w:pPr>
    <w:rPr>
      <w:b/>
      <w:color w:val="e8e8f0"/>
    </w:rPr>
  </w:style>
  <w:style w:type="paragraph" w:styleId="TOC2">
    <w:name w:val="toc 2"/>
    <w:basedOn w:val="Normal"/>
    <w:pPr>
      <w:tabs>
        <w:tab w:val="right" w:leader="dot" w:pos="9350"/>
      </w:tabs>
      <w:spacing w:before="60" w:after="60"/>
      <w:ind w:left="360"/>
    </w:pPr>
    <w:rPr>
      <w:color w:val="b0b0c0"/>
    </w:rPr>
  </w:style>
  <w:style w:type="paragraph" w:styleId="TOC3">
    <w:name w:val="toc 3"/>
    <w:basedOn w:val="Normal"/>
    <w:pPr>
      <w:tabs>
        <w:tab w:val="right" w:leader="dot" w:pos="9350"/>
      </w:tabs>
      <w:spacing w:before="40" w:after="40"/>
      <w:ind w:left="720"/>
    </w:pPr>
    <w:rPr>
      <w:color w:val="808090"/>
    </w:rPr>
  </w:style>
  <w:style w:type="paragraph" w:styleId="Caption">
    <w:name w:val="Caption"/>
    <w:basedOn w:val="Normal"/>
    <w:pPr>
      <w:keepLines/>
      <w:spacing w:before="60" w:after="300"/>
      <w:jc w:val="center"/>
    </w:pPr>
    <w:rPr>
      <w:i/>
      <w:color w:val="b0b0c0"/>
      <w:sz w:val="20"/>
    </w:rPr>
  </w:style>
  <w:style w:type="paragraph" w:styleId="Definition">
    <w:name w:val="Definition"/>
    <w:basedOn w:val="Normal"/>
    <w:pPr>
      <w:pBdr>
        <w:left w:val="single" w:color="0066cc" w:sz="24"/>
      </w:pBdr>
      <w:shd w:val="clear" w:fill="1a1a2e"/>
      <w:spacing w:before="200" w:after="200"/>
      <w:ind w:left="720" w:right="720"/>
    </w:pPr>
    <w:rPr>
      <w:sz w:val="21"/>
    </w:rPr>
  </w:style>
</w:styles>
</file>

<file path=word/_rels/document.xml.rels>&#65279;<?xml version="1.0" encoding="utf-8"?><Relationships xmlns="http://schemas.openxmlformats.org/package/2006/relationships"><Relationship Type="http://schemas.openxmlformats.org/officeDocument/2006/relationships/styles" Target="/word/styles.xml" Id="R99c692c41b6b4b85" /><Relationship Type="http://schemas.openxmlformats.org/officeDocument/2006/relationships/numbering" Target="/word/numbering.xml" Id="Re56db244715f4c8e" /><Relationship Type="http://schemas.openxmlformats.org/officeDocument/2006/relationships/image" Target="/media/image.png" Id="Rd9016b67ba0142e6" /><Relationship Type="http://schemas.openxmlformats.org/officeDocument/2006/relationships/image" Target="/media/image2.png" Id="R54f0354a016f4243" /><Relationship Type="http://schemas.openxmlformats.org/officeDocument/2006/relationships/image" Target="/media/image3.png" Id="R6e034108700246ae" /><Relationship Type="http://schemas.openxmlformats.org/officeDocument/2006/relationships/header" Target="/word/header1.xml" Id="R162d83f35c074c3d" /><Relationship Type="http://schemas.openxmlformats.org/officeDocument/2006/relationships/footer" Target="/word/footer1.xml" Id="R2b1bdcb2c8c84aca" /><Relationship Type="http://schemas.openxmlformats.org/officeDocument/2006/relationships/settings" Target="/word/settings.xml" Id="R605881ab41384748" /></Relationships>
</file>

<file path=word/_rels/header1.xml.rels>&#65279;<?xml version="1.0" encoding="utf-8"?><Relationships xmlns="http://schemas.openxmlformats.org/package/2006/relationships"><Relationship Type="http://schemas.openxmlformats.org/officeDocument/2006/relationships/image" Target="/media/image4.png" Id="R8d84a8c41c77459d" /></Relationships>
</file>