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493C3" w14:textId="48422BAA" w:rsidR="00F73D69" w:rsidRDefault="00F73D69" w:rsidP="00E633E9">
      <w:pPr>
        <w:pStyle w:val="Heading2"/>
        <w:spacing w:before="0" w:after="60" w:line="240" w:lineRule="auto"/>
      </w:pPr>
      <w:bookmarkStart w:id="0" w:name="_Toc100900231"/>
      <w:r>
        <w:t xml:space="preserve">T4.4 </w:t>
      </w:r>
      <w:r w:rsidR="00B953F8" w:rsidRPr="00925B58">
        <w:rPr>
          <w:highlight w:val="yellow"/>
        </w:rPr>
        <w:t>Sub-humid</w:t>
      </w:r>
      <w:r w:rsidR="00B953F8">
        <w:t xml:space="preserve"> t</w:t>
      </w:r>
      <w:r>
        <w:t>emperate woodlands</w:t>
      </w:r>
      <w:bookmarkEnd w:id="0"/>
    </w:p>
    <w:p w14:paraId="273591CF" w14:textId="7706A0A9" w:rsidR="00F73D69" w:rsidRDefault="00F73D69" w:rsidP="00F73D69">
      <w:pPr>
        <w:pStyle w:val="FirstParagraph"/>
        <w:spacing w:before="0" w:after="60"/>
      </w:pPr>
      <w:r w:rsidRPr="000700FD">
        <w:rPr>
          <w:noProof/>
          <w:lang w:eastAsia="en-AU"/>
        </w:rPr>
        <w:drawing>
          <wp:anchor distT="0" distB="0" distL="114300" distR="114300" simplePos="0" relativeHeight="251661312" behindDoc="0" locked="0" layoutInCell="1" allowOverlap="1" wp14:anchorId="005B7CC7" wp14:editId="7A7332F0">
            <wp:simplePos x="0" y="0"/>
            <wp:positionH relativeFrom="column">
              <wp:posOffset>-26035</wp:posOffset>
            </wp:positionH>
            <wp:positionV relativeFrom="paragraph">
              <wp:posOffset>2223135</wp:posOffset>
            </wp:positionV>
            <wp:extent cx="3677920" cy="2336800"/>
            <wp:effectExtent l="0" t="0" r="0" b="6350"/>
            <wp:wrapSquare wrapText="bothSides"/>
            <wp:docPr id="156" name="Picture 156" descr="WSGWtamwor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SGWtamworth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920" cy="233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i/>
        </w:rPr>
        <w:t>Ecosystem properties</w:t>
      </w:r>
      <w:r>
        <w:t xml:space="preserve">: These structurally simple woodlands are </w:t>
      </w:r>
      <w:proofErr w:type="spellStart"/>
      <w:r>
        <w:t>characterised</w:t>
      </w:r>
      <w:proofErr w:type="spellEnd"/>
      <w:r>
        <w:t xml:space="preserve"> by space between open tree crowns and a ground layer with tussock grasses, interstitial forbs, and a variable shrub component</w:t>
      </w:r>
      <w:r w:rsidR="00E155F7">
        <w:t xml:space="preserve"> </w:t>
      </w:r>
      <w:r w:rsidR="00E155F7" w:rsidRPr="00925B58">
        <w:rPr>
          <w:highlight w:val="yellow"/>
        </w:rPr>
        <w:t>but generally less dense and/or less sclerophyllous than in pyric ecosystems of the Temperate forests biome (T2)</w:t>
      </w:r>
      <w:r>
        <w:t xml:space="preserve">. </w:t>
      </w:r>
      <w:proofErr w:type="gramStart"/>
      <w:r>
        <w:t>Grasses</w:t>
      </w:r>
      <w:proofErr w:type="gramEnd"/>
      <w:r>
        <w:t xml:space="preserve"> with C3 and C4 photosynthetic pathways are </w:t>
      </w:r>
      <w:r w:rsidR="00B953F8" w:rsidRPr="00925B58">
        <w:rPr>
          <w:highlight w:val="yellow"/>
        </w:rPr>
        <w:t>both</w:t>
      </w:r>
      <w:r w:rsidR="00B953F8">
        <w:t xml:space="preserve"> </w:t>
      </w:r>
      <w:r>
        <w:t>common but</w:t>
      </w:r>
      <w:r w:rsidR="00E633E9">
        <w:t xml:space="preserve"> </w:t>
      </w:r>
      <w:r w:rsidR="00E633E9" w:rsidRPr="00925B58">
        <w:rPr>
          <w:highlight w:val="yellow"/>
        </w:rPr>
        <w:t>vary</w:t>
      </w:r>
      <w:r w:rsidR="00E155F7" w:rsidRPr="00925B58">
        <w:rPr>
          <w:highlight w:val="yellow"/>
        </w:rPr>
        <w:t>, with</w:t>
      </w:r>
      <w:r w:rsidRPr="00925B58">
        <w:rPr>
          <w:highlight w:val="yellow"/>
        </w:rPr>
        <w:t xml:space="preserve"> </w:t>
      </w:r>
      <w:r w:rsidR="00E633E9" w:rsidRPr="00925B58">
        <w:rPr>
          <w:highlight w:val="yellow"/>
        </w:rPr>
        <w:t>C3 grasses predominat</w:t>
      </w:r>
      <w:r w:rsidR="00E155F7" w:rsidRPr="00925B58">
        <w:rPr>
          <w:highlight w:val="yellow"/>
        </w:rPr>
        <w:t>ing</w:t>
      </w:r>
      <w:r w:rsidR="00E633E9" w:rsidRPr="00925B58">
        <w:rPr>
          <w:highlight w:val="yellow"/>
        </w:rPr>
        <w:t xml:space="preserve"> in winter, </w:t>
      </w:r>
      <w:proofErr w:type="gramStart"/>
      <w:r w:rsidR="00E155F7" w:rsidRPr="00925B58">
        <w:rPr>
          <w:highlight w:val="yellow"/>
        </w:rPr>
        <w:t xml:space="preserve">at </w:t>
      </w:r>
      <w:r w:rsidR="00E633E9" w:rsidRPr="00925B58">
        <w:rPr>
          <w:highlight w:val="yellow"/>
        </w:rPr>
        <w:t>locally</w:t>
      </w:r>
      <w:proofErr w:type="gramEnd"/>
      <w:r w:rsidR="00E633E9" w:rsidRPr="00925B58">
        <w:rPr>
          <w:highlight w:val="yellow"/>
        </w:rPr>
        <w:t xml:space="preserve"> moist sites, cold sites, or areas without summer rainfall</w:t>
      </w:r>
      <w:r w:rsidR="00E55E46" w:rsidRPr="00925B58">
        <w:rPr>
          <w:highlight w:val="yellow"/>
        </w:rPr>
        <w:t>,</w:t>
      </w:r>
      <w:r w:rsidR="00E155F7" w:rsidRPr="00925B58">
        <w:rPr>
          <w:highlight w:val="yellow"/>
        </w:rPr>
        <w:t xml:space="preserve"> and</w:t>
      </w:r>
      <w:r w:rsidR="00E633E9">
        <w:t xml:space="preserve"> </w:t>
      </w:r>
      <w:r>
        <w:t xml:space="preserve">C4 grasses </w:t>
      </w:r>
      <w:r w:rsidR="00E155F7" w:rsidRPr="00925B58">
        <w:rPr>
          <w:highlight w:val="yellow"/>
        </w:rPr>
        <w:t>abundant under the opposite conditions</w:t>
      </w:r>
      <w:r>
        <w:t>. The ground flora varies</w:t>
      </w:r>
      <w:r w:rsidR="003F26B9">
        <w:t xml:space="preserve"> </w:t>
      </w:r>
      <w:r w:rsidR="003F26B9" w:rsidRPr="00925B58">
        <w:rPr>
          <w:highlight w:val="yellow"/>
        </w:rPr>
        <w:t>with</w:t>
      </w:r>
      <w:r w:rsidRPr="00925B58">
        <w:rPr>
          <w:highlight w:val="yellow"/>
        </w:rPr>
        <w:t xml:space="preserve"> </w:t>
      </w:r>
      <w:r w:rsidR="00B953F8" w:rsidRPr="00925B58">
        <w:rPr>
          <w:highlight w:val="yellow"/>
        </w:rPr>
        <w:t>rainfall seasonally and</w:t>
      </w:r>
      <w:r w:rsidR="00B953F8">
        <w:t xml:space="preserve"> </w:t>
      </w:r>
      <w:r>
        <w:t>inter-annually</w:t>
      </w:r>
      <w:r w:rsidR="00536B81">
        <w:t xml:space="preserve">, </w:t>
      </w:r>
      <w:r w:rsidR="00536B81" w:rsidRPr="00925B58">
        <w:rPr>
          <w:highlight w:val="yellow"/>
        </w:rPr>
        <w:t xml:space="preserve">with </w:t>
      </w:r>
      <w:r w:rsidR="00B953F8" w:rsidRPr="00925B58">
        <w:rPr>
          <w:highlight w:val="yellow"/>
        </w:rPr>
        <w:t>many forbs having perennial organs below ground that produce shoots when soils are moist</w:t>
      </w:r>
      <w:r w:rsidRPr="00925B58">
        <w:rPr>
          <w:highlight w:val="yellow"/>
        </w:rPr>
        <w:t xml:space="preserve">. </w:t>
      </w:r>
      <w:r w:rsidR="003F26B9" w:rsidRPr="00925B58">
        <w:rPr>
          <w:highlight w:val="yellow"/>
        </w:rPr>
        <w:t>However, xeric traits are not strongly represented.</w:t>
      </w:r>
      <w:r w:rsidR="003F26B9">
        <w:t xml:space="preserve"> </w:t>
      </w:r>
      <w:r>
        <w:t>Trees generate spatial heterogeneity in light, water, and nutrients, which underpin a diversity of microhabitats and mediate competitive interactions among plants in the ground layer. Foliage is mostly microphyll</w:t>
      </w:r>
      <w:r w:rsidR="003F26B9">
        <w:t>,</w:t>
      </w:r>
      <w:r>
        <w:t xml:space="preserve"> evergreen </w:t>
      </w:r>
      <w:r w:rsidR="003F26B9">
        <w:t>and</w:t>
      </w:r>
      <w:r>
        <w:t xml:space="preserve"> transmitting abundant light</w:t>
      </w:r>
      <w:r w:rsidR="003F26B9">
        <w:t>,</w:t>
      </w:r>
      <w:r>
        <w:t xml:space="preserve"> or deciduous in colder climates. </w:t>
      </w:r>
      <w:r w:rsidR="00E55E46">
        <w:t>P</w:t>
      </w:r>
      <w:r>
        <w:t xml:space="preserve">lant and invertebrate </w:t>
      </w:r>
      <w:r w:rsidR="00E55E46">
        <w:t xml:space="preserve">diversity </w:t>
      </w:r>
      <w:r>
        <w:t>may therefore be relatively high at local scales, but local endemism is limited due to long-distance dispersal. Productivity is relatively high as grasses rapidly produce biomass rich in N and other nutrients after rain</w:t>
      </w:r>
      <w:r w:rsidR="00E55E46">
        <w:t>,</w:t>
      </w:r>
      <w:r>
        <w:t xml:space="preserve"> sustain</w:t>
      </w:r>
      <w:r w:rsidR="00E55E46">
        <w:t>ing</w:t>
      </w:r>
      <w:r>
        <w:t xml:space="preserve"> a relatively complex trophic network of invertebrate and vertebrate consumers. Large herbivores and their predators are </w:t>
      </w:r>
      <w:r w:rsidR="00E55E46">
        <w:t xml:space="preserve">key </w:t>
      </w:r>
      <w:r>
        <w:t>top-down regulators. Bioturbation by fossorial mammals influences soil structure, water infiltration, and nutrient cycling. The fauna is less functionally and taxonomically diverse than in most tropical savannas (</w:t>
      </w:r>
      <w:hyperlink r:id="rId8">
        <w:r>
          <w:rPr>
            <w:rStyle w:val="Hyperlink"/>
          </w:rPr>
          <w:t>T4.1</w:t>
        </w:r>
      </w:hyperlink>
      <w:r>
        <w:t xml:space="preserve"> and </w:t>
      </w:r>
      <w:hyperlink r:id="rId9">
        <w:r>
          <w:rPr>
            <w:rStyle w:val="Hyperlink"/>
          </w:rPr>
          <w:t>T4.2</w:t>
        </w:r>
      </w:hyperlink>
      <w:r>
        <w:t xml:space="preserve">), but includes large and small mammals, reptiles, and a high diversity of birds and macro-invertebrates, including grasshoppers, which are major consumers of biomass. Plants and animals tolerate and persist through periodic ground fires that consume cured-grass fuels, but few have </w:t>
      </w:r>
      <w:proofErr w:type="spellStart"/>
      <w:r>
        <w:t>specialised</w:t>
      </w:r>
      <w:proofErr w:type="spellEnd"/>
      <w:r>
        <w:t xml:space="preserve"> traits cued to fire (cf. pyric ecosystems such as </w:t>
      </w:r>
      <w:hyperlink r:id="rId10">
        <w:r>
          <w:rPr>
            <w:rStyle w:val="Hyperlink"/>
          </w:rPr>
          <w:t>T2.6</w:t>
        </w:r>
      </w:hyperlink>
      <w:r>
        <w:t>).</w:t>
      </w:r>
    </w:p>
    <w:p w14:paraId="4D27703D" w14:textId="77777777" w:rsidR="00F73D69" w:rsidRDefault="00F73D69" w:rsidP="00F73D69">
      <w:pPr>
        <w:pStyle w:val="Heading4"/>
        <w:spacing w:before="0" w:line="240" w:lineRule="auto"/>
      </w:pPr>
      <w:r>
        <w:rPr>
          <w:sz w:val="20"/>
        </w:rPr>
        <w:t>Temperate grassy woodland, Tamworth, Australia.</w:t>
      </w:r>
    </w:p>
    <w:p w14:paraId="7D09BD48" w14:textId="567F1833" w:rsidR="00F73D69" w:rsidRDefault="00332798" w:rsidP="00F73D69">
      <w:pPr>
        <w:pStyle w:val="Heading5"/>
        <w:spacing w:before="0" w:after="60" w:line="240" w:lineRule="auto"/>
      </w:pPr>
      <w:r>
        <w:rPr>
          <w:noProof/>
          <w:sz w:val="18"/>
        </w:rPr>
        <w:drawing>
          <wp:anchor distT="0" distB="0" distL="114300" distR="114300" simplePos="0" relativeHeight="251667456" behindDoc="0" locked="0" layoutInCell="1" allowOverlap="1" wp14:anchorId="187DCD5D" wp14:editId="36DED075">
            <wp:simplePos x="0" y="0"/>
            <wp:positionH relativeFrom="column">
              <wp:posOffset>3315335</wp:posOffset>
            </wp:positionH>
            <wp:positionV relativeFrom="paragraph">
              <wp:posOffset>177165</wp:posOffset>
            </wp:positionV>
            <wp:extent cx="3335020" cy="2365375"/>
            <wp:effectExtent l="0" t="0" r="0" b="0"/>
            <wp:wrapSquare wrapText="bothSides"/>
            <wp:docPr id="397642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020" cy="236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3D69">
        <w:rPr>
          <w:sz w:val="18"/>
        </w:rPr>
        <w:t>Credit: David Keith</w:t>
      </w:r>
    </w:p>
    <w:p w14:paraId="79AF6D49" w14:textId="578A2C3B" w:rsidR="00F73D69" w:rsidRDefault="00F73D69" w:rsidP="00F73D69">
      <w:pPr>
        <w:pStyle w:val="Figure"/>
        <w:spacing w:after="60"/>
      </w:pPr>
      <w:r>
        <w:rPr>
          <w:b/>
          <w:i/>
        </w:rPr>
        <w:t>Ecological drivers</w:t>
      </w:r>
      <w:r>
        <w:t xml:space="preserve">: A water deficit occurs seasonally in summer, driven primarily by peak evapotranspiration </w:t>
      </w:r>
      <w:r w:rsidR="000126FF">
        <w:t xml:space="preserve">in </w:t>
      </w:r>
      <w:r>
        <w:t xml:space="preserve">warm-hot </w:t>
      </w:r>
      <w:r w:rsidR="000126FF" w:rsidRPr="00C4675E">
        <w:rPr>
          <w:highlight w:val="yellow"/>
        </w:rPr>
        <w:t>summers</w:t>
      </w:r>
      <w:r w:rsidR="000126FF">
        <w:t xml:space="preserve"> </w:t>
      </w:r>
      <w:r>
        <w:t>and, in some regions, winter-maximum rainfall patterns. Mean annual rainfall is 350–1,000 mm</w:t>
      </w:r>
      <w:r w:rsidR="000126FF">
        <w:t xml:space="preserve">, </w:t>
      </w:r>
      <w:r w:rsidR="000126FF" w:rsidRPr="00C4675E">
        <w:rPr>
          <w:highlight w:val="yellow"/>
        </w:rPr>
        <w:t>higher than in semi-arid woodlands</w:t>
      </w:r>
      <w:r>
        <w:t xml:space="preserve">. Low winter temperatures and occasional frost and snow may limit the growing season to 6–9 months. </w:t>
      </w:r>
      <w:proofErr w:type="gramStart"/>
      <w:r>
        <w:t>Soils are</w:t>
      </w:r>
      <w:proofErr w:type="gramEnd"/>
      <w:r>
        <w:t xml:space="preserve"> usually fine-textured and fertile, but N may be </w:t>
      </w:r>
      <w:proofErr w:type="gramStart"/>
      <w:r>
        <w:t>limiting</w:t>
      </w:r>
      <w:proofErr w:type="gramEnd"/>
      <w:r>
        <w:t xml:space="preserve"> in some areas. Fires burn mostly in the ground layers during the drier summer months at decadal intervals.</w:t>
      </w:r>
    </w:p>
    <w:p w14:paraId="5A008CB8" w14:textId="0B395711" w:rsidR="00F73D69" w:rsidRDefault="005D50C5" w:rsidP="00F73D69">
      <w:pPr>
        <w:pStyle w:val="FirstParagraph"/>
        <w:spacing w:before="0" w:after="60"/>
      </w:pPr>
      <w:r w:rsidRPr="00C4675E">
        <w:rPr>
          <w:b/>
          <w:i/>
          <w:noProof/>
          <w:highlight w:val="yellow"/>
        </w:rPr>
        <w:drawing>
          <wp:anchor distT="0" distB="0" distL="114300" distR="114300" simplePos="0" relativeHeight="251668480" behindDoc="0" locked="0" layoutInCell="1" allowOverlap="1" wp14:anchorId="5D9F3469" wp14:editId="7C691686">
            <wp:simplePos x="0" y="0"/>
            <wp:positionH relativeFrom="column">
              <wp:posOffset>-12700</wp:posOffset>
            </wp:positionH>
            <wp:positionV relativeFrom="paragraph">
              <wp:posOffset>605155</wp:posOffset>
            </wp:positionV>
            <wp:extent cx="3543300" cy="1879600"/>
            <wp:effectExtent l="0" t="0" r="0" b="6350"/>
            <wp:wrapSquare wrapText="bothSides"/>
            <wp:docPr id="820772353" name="Picture 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72353" name="Picture 1" descr="A map of the world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19" t="15492" r="2581" b="8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87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73D69" w:rsidRPr="00C4675E">
        <w:rPr>
          <w:b/>
          <w:i/>
          <w:highlight w:val="yellow"/>
        </w:rPr>
        <w:t>Distribution</w:t>
      </w:r>
      <w:r w:rsidR="00F73D69">
        <w:t xml:space="preserve">: Temperate </w:t>
      </w:r>
      <w:r w:rsidR="000126FF" w:rsidRPr="00C4675E">
        <w:rPr>
          <w:highlight w:val="yellow"/>
        </w:rPr>
        <w:t>subhumid</w:t>
      </w:r>
      <w:r w:rsidR="000126FF">
        <w:t xml:space="preserve"> </w:t>
      </w:r>
      <w:r w:rsidR="00F73D69">
        <w:t>southeast and southwest Australia, Patagonia and Pampas of South America, western and eastern North America, the Mediterranean region, and temperate Eurasia.</w:t>
      </w:r>
      <w:r w:rsidRPr="005D50C5">
        <w:rPr>
          <w:b/>
          <w:i/>
          <w:noProof/>
        </w:rPr>
        <w:t xml:space="preserve"> </w:t>
      </w:r>
    </w:p>
    <w:p w14:paraId="62234AC7" w14:textId="1B7E7C8D" w:rsidR="00F73D69" w:rsidRDefault="00F73D69" w:rsidP="00F73D69">
      <w:pPr>
        <w:pStyle w:val="Heading3"/>
        <w:spacing w:before="0" w:line="240" w:lineRule="auto"/>
      </w:pPr>
      <w:bookmarkStart w:id="1" w:name="references-17"/>
      <w:bookmarkEnd w:id="1"/>
      <w:r>
        <w:t>References:</w:t>
      </w:r>
    </w:p>
    <w:p w14:paraId="7EF8AF9F" w14:textId="4E79E7BF" w:rsidR="00F73D69" w:rsidRPr="00E57DB5" w:rsidRDefault="00F73D69" w:rsidP="00F73D69">
      <w:pPr>
        <w:pStyle w:val="Compact"/>
        <w:spacing w:before="0" w:after="60"/>
        <w:rPr>
          <w:sz w:val="18"/>
          <w:szCs w:val="20"/>
        </w:rPr>
      </w:pPr>
      <w:r w:rsidRPr="00E57DB5">
        <w:rPr>
          <w:sz w:val="18"/>
          <w:szCs w:val="20"/>
        </w:rPr>
        <w:t xml:space="preserve">Davis FW, Baldocchi DD, Tyler CM (2019) Oak woodlands. </w:t>
      </w:r>
      <w:r w:rsidRPr="00E57DB5">
        <w:rPr>
          <w:i/>
          <w:sz w:val="18"/>
          <w:szCs w:val="20"/>
        </w:rPr>
        <w:t>Ecosystems of California</w:t>
      </w:r>
      <w:r w:rsidRPr="00E57DB5">
        <w:rPr>
          <w:sz w:val="18"/>
          <w:szCs w:val="20"/>
        </w:rPr>
        <w:t xml:space="preserve"> (Eds. HA Mooney, E Zavaleta). Chapter 25 pp 509-534. University of California Press, Berkeley.</w:t>
      </w:r>
    </w:p>
    <w:p w14:paraId="25766637" w14:textId="4D6ACDBE" w:rsidR="00F73D69" w:rsidRPr="00E57DB5" w:rsidRDefault="00F73D69" w:rsidP="00F73D69">
      <w:pPr>
        <w:pStyle w:val="Compact"/>
        <w:spacing w:before="0" w:after="60"/>
        <w:rPr>
          <w:sz w:val="18"/>
          <w:szCs w:val="20"/>
        </w:rPr>
      </w:pPr>
      <w:r w:rsidRPr="00E57DB5">
        <w:rPr>
          <w:sz w:val="18"/>
          <w:szCs w:val="20"/>
        </w:rPr>
        <w:t xml:space="preserve">Gibson GJ (2009) </w:t>
      </w:r>
      <w:r w:rsidRPr="00E57DB5">
        <w:rPr>
          <w:i/>
          <w:sz w:val="18"/>
          <w:szCs w:val="20"/>
        </w:rPr>
        <w:t>Grasses and grassland ecology</w:t>
      </w:r>
      <w:r w:rsidRPr="00E57DB5">
        <w:rPr>
          <w:sz w:val="18"/>
          <w:szCs w:val="20"/>
        </w:rPr>
        <w:t xml:space="preserve"> Oxford University Press, Oxford.</w:t>
      </w:r>
    </w:p>
    <w:p w14:paraId="3739AB8F" w14:textId="5B8F565F" w:rsidR="005770D9" w:rsidRDefault="00F73D69" w:rsidP="00C4675E">
      <w:pPr>
        <w:pStyle w:val="Compact"/>
        <w:spacing w:before="0" w:after="60"/>
      </w:pPr>
      <w:r w:rsidRPr="00E57DB5">
        <w:rPr>
          <w:sz w:val="18"/>
          <w:szCs w:val="20"/>
        </w:rPr>
        <w:t xml:space="preserve">Prober SM, Gosper CR, </w:t>
      </w:r>
      <w:proofErr w:type="spellStart"/>
      <w:r w:rsidRPr="00E57DB5">
        <w:rPr>
          <w:sz w:val="18"/>
          <w:szCs w:val="20"/>
        </w:rPr>
        <w:t>Gilfedder</w:t>
      </w:r>
      <w:proofErr w:type="spellEnd"/>
      <w:r w:rsidRPr="00E57DB5">
        <w:rPr>
          <w:sz w:val="18"/>
          <w:szCs w:val="20"/>
        </w:rPr>
        <w:t xml:space="preserve"> L, Harwood TD, Thiele KR, Williams KJ, Yates CJ (2017) Temperate eucalypt woodlands. </w:t>
      </w:r>
      <w:r w:rsidRPr="00E57DB5">
        <w:rPr>
          <w:i/>
          <w:sz w:val="18"/>
          <w:szCs w:val="20"/>
        </w:rPr>
        <w:t>Australian vegetation</w:t>
      </w:r>
      <w:r w:rsidRPr="00E57DB5">
        <w:rPr>
          <w:sz w:val="18"/>
          <w:szCs w:val="20"/>
        </w:rPr>
        <w:t xml:space="preserve"> (Ed. DA Keith), pp 410-437. Cambridge University Press, Cambridge</w:t>
      </w:r>
    </w:p>
    <w:sectPr w:rsidR="005770D9" w:rsidSect="00C4675E">
      <w:headerReference w:type="default" r:id="rId13"/>
      <w:footerReference w:type="default" r:id="rId14"/>
      <w:pgSz w:w="11906" w:h="16838"/>
      <w:pgMar w:top="567" w:right="720" w:bottom="567" w:left="720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12588" w14:textId="77777777" w:rsidR="00836530" w:rsidRDefault="00836530" w:rsidP="006C0EF6">
      <w:pPr>
        <w:spacing w:after="0" w:line="240" w:lineRule="auto"/>
      </w:pPr>
      <w:r>
        <w:separator/>
      </w:r>
    </w:p>
  </w:endnote>
  <w:endnote w:type="continuationSeparator" w:id="0">
    <w:p w14:paraId="511F0E86" w14:textId="77777777" w:rsidR="00836530" w:rsidRDefault="00836530" w:rsidP="006C0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6638B" w14:textId="77777777" w:rsidR="00740C8C" w:rsidRDefault="00000000">
    <w:pPr>
      <w:pStyle w:val="Footer"/>
      <w:jc w:val="center"/>
    </w:pPr>
    <w:r>
      <w:rPr>
        <w:sz w:val="16"/>
      </w:rPr>
      <w:t>Map is for illustrative purposes only and does not support spatial analyses unless formally validated.</w:t>
    </w:r>
  </w:p>
  <w:p w14:paraId="1E457F80" w14:textId="77777777" w:rsidR="00740C8C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76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79F99" w14:textId="77777777" w:rsidR="00836530" w:rsidRDefault="00836530" w:rsidP="006C0EF6">
      <w:pPr>
        <w:spacing w:after="0" w:line="240" w:lineRule="auto"/>
      </w:pPr>
      <w:r>
        <w:separator/>
      </w:r>
    </w:p>
  </w:footnote>
  <w:footnote w:type="continuationSeparator" w:id="0">
    <w:p w14:paraId="549F3DCE" w14:textId="77777777" w:rsidR="00836530" w:rsidRDefault="00836530" w:rsidP="006C0E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BC7A3" w14:textId="77777777" w:rsidR="00740C8C" w:rsidRPr="00105E76" w:rsidRDefault="00000000" w:rsidP="004255FC">
    <w:pPr>
      <w:pStyle w:val="Header"/>
      <w:jc w:val="right"/>
      <w:rPr>
        <w:i/>
        <w:iCs/>
        <w:color w:val="808080" w:themeColor="background1" w:themeShade="80"/>
      </w:rPr>
    </w:pPr>
    <w:r w:rsidRPr="00E57DB5">
      <w:rPr>
        <w:i/>
        <w:iCs/>
        <w:color w:val="808080" w:themeColor="background1" w:themeShade="80"/>
      </w:rPr>
      <w:t>Contributors:</w:t>
    </w:r>
    <w:r w:rsidRPr="00E57DB5">
      <w:rPr>
        <w:color w:val="808080" w:themeColor="background1" w:themeShade="80"/>
      </w:rPr>
      <w:t xml:space="preserve"> </w:t>
    </w:r>
    <w:r w:rsidRPr="00105E76">
      <w:rPr>
        <w:i/>
        <w:iCs/>
        <w:color w:val="808080" w:themeColor="background1" w:themeShade="80"/>
      </w:rPr>
      <w:t>DA Keith, D Faber-Lan</w:t>
    </w:r>
    <w:r>
      <w:rPr>
        <w:i/>
        <w:iCs/>
        <w:color w:val="808080" w:themeColor="background1" w:themeShade="80"/>
      </w:rPr>
      <w:t>g</w:t>
    </w:r>
    <w:r w:rsidRPr="00105E76">
      <w:rPr>
        <w:i/>
        <w:iCs/>
        <w:color w:val="808080" w:themeColor="background1" w:themeShade="80"/>
      </w:rPr>
      <w:t>endoen, J Franklin</w:t>
    </w:r>
  </w:p>
  <w:p w14:paraId="1556B32D" w14:textId="77777777" w:rsidR="00740C8C" w:rsidRDefault="00740C8C" w:rsidP="004255FC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D69"/>
    <w:rsid w:val="000126FF"/>
    <w:rsid w:val="0005367E"/>
    <w:rsid w:val="000E162B"/>
    <w:rsid w:val="000E46FD"/>
    <w:rsid w:val="000F747D"/>
    <w:rsid w:val="001019D5"/>
    <w:rsid w:val="001063AD"/>
    <w:rsid w:val="001476B6"/>
    <w:rsid w:val="001A076F"/>
    <w:rsid w:val="001C29F0"/>
    <w:rsid w:val="00252DC8"/>
    <w:rsid w:val="00265E29"/>
    <w:rsid w:val="00272424"/>
    <w:rsid w:val="002819A1"/>
    <w:rsid w:val="00295586"/>
    <w:rsid w:val="00325BFF"/>
    <w:rsid w:val="00332798"/>
    <w:rsid w:val="003F26B9"/>
    <w:rsid w:val="00404B2F"/>
    <w:rsid w:val="004063FE"/>
    <w:rsid w:val="00412312"/>
    <w:rsid w:val="005028F1"/>
    <w:rsid w:val="005129FF"/>
    <w:rsid w:val="00536B81"/>
    <w:rsid w:val="005770D9"/>
    <w:rsid w:val="005D50C5"/>
    <w:rsid w:val="005E2AF0"/>
    <w:rsid w:val="006342BD"/>
    <w:rsid w:val="006C0EF6"/>
    <w:rsid w:val="00720EE5"/>
    <w:rsid w:val="00723CB9"/>
    <w:rsid w:val="00740C8C"/>
    <w:rsid w:val="007860E3"/>
    <w:rsid w:val="00813833"/>
    <w:rsid w:val="00836530"/>
    <w:rsid w:val="00851475"/>
    <w:rsid w:val="00925B58"/>
    <w:rsid w:val="00933F60"/>
    <w:rsid w:val="0096264E"/>
    <w:rsid w:val="00980C04"/>
    <w:rsid w:val="009D1202"/>
    <w:rsid w:val="00AE72AD"/>
    <w:rsid w:val="00AF0810"/>
    <w:rsid w:val="00B269BF"/>
    <w:rsid w:val="00B71A8A"/>
    <w:rsid w:val="00B8759F"/>
    <w:rsid w:val="00B953F8"/>
    <w:rsid w:val="00BD3539"/>
    <w:rsid w:val="00BD58BC"/>
    <w:rsid w:val="00BE3D75"/>
    <w:rsid w:val="00C4675E"/>
    <w:rsid w:val="00CA2DA7"/>
    <w:rsid w:val="00D07DF0"/>
    <w:rsid w:val="00D4720C"/>
    <w:rsid w:val="00D50D7A"/>
    <w:rsid w:val="00D60E1A"/>
    <w:rsid w:val="00DD259F"/>
    <w:rsid w:val="00E012BE"/>
    <w:rsid w:val="00E0323B"/>
    <w:rsid w:val="00E155F7"/>
    <w:rsid w:val="00E506AD"/>
    <w:rsid w:val="00E55E46"/>
    <w:rsid w:val="00E633E9"/>
    <w:rsid w:val="00EC6409"/>
    <w:rsid w:val="00F674BD"/>
    <w:rsid w:val="00F73D69"/>
    <w:rsid w:val="00F77098"/>
    <w:rsid w:val="00F85952"/>
    <w:rsid w:val="00FB3651"/>
    <w:rsid w:val="00FE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510E4"/>
  <w15:chartTrackingRefBased/>
  <w15:docId w15:val="{C68FA6B3-BA5D-4A97-9356-ACA5DDEBD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D69"/>
    <w:pPr>
      <w:spacing w:after="200" w:line="276" w:lineRule="auto"/>
    </w:pPr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3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3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3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3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73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3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3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D6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3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D69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F73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D69"/>
    <w:rPr>
      <w:kern w:val="0"/>
    </w:rPr>
  </w:style>
  <w:style w:type="character" w:styleId="Hyperlink">
    <w:name w:val="Hyperlink"/>
    <w:basedOn w:val="DefaultParagraphFont"/>
    <w:uiPriority w:val="99"/>
    <w:unhideWhenUsed/>
    <w:rsid w:val="00F73D69"/>
    <w:rPr>
      <w:color w:val="0563C1" w:themeColor="hyperlink"/>
      <w:u w:val="single"/>
    </w:rPr>
  </w:style>
  <w:style w:type="paragraph" w:customStyle="1" w:styleId="FirstParagraph">
    <w:name w:val="First Paragraph"/>
    <w:basedOn w:val="BodyText"/>
    <w:next w:val="BodyText"/>
    <w:qFormat/>
    <w:rsid w:val="00F73D69"/>
    <w:pPr>
      <w:spacing w:before="180" w:after="180" w:line="240" w:lineRule="auto"/>
    </w:pPr>
    <w:rPr>
      <w:szCs w:val="24"/>
      <w:lang w:val="en-US"/>
    </w:rPr>
  </w:style>
  <w:style w:type="paragraph" w:customStyle="1" w:styleId="Compact">
    <w:name w:val="Compact"/>
    <w:basedOn w:val="BodyText"/>
    <w:qFormat/>
    <w:rsid w:val="00F73D69"/>
    <w:pPr>
      <w:spacing w:before="36" w:after="36" w:line="240" w:lineRule="auto"/>
    </w:pPr>
    <w:rPr>
      <w:szCs w:val="24"/>
      <w:lang w:val="en-US"/>
    </w:rPr>
  </w:style>
  <w:style w:type="paragraph" w:customStyle="1" w:styleId="Figure">
    <w:name w:val="Figure"/>
    <w:basedOn w:val="Normal"/>
    <w:rsid w:val="00F73D69"/>
    <w:pPr>
      <w:spacing w:line="240" w:lineRule="auto"/>
    </w:pPr>
    <w:rPr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F73D6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73D69"/>
    <w:rPr>
      <w:kern w:val="0"/>
      <w14:ligatures w14:val="none"/>
    </w:rPr>
  </w:style>
  <w:style w:type="paragraph" w:styleId="Revision">
    <w:name w:val="Revision"/>
    <w:hidden/>
    <w:uiPriority w:val="99"/>
    <w:semiHidden/>
    <w:rsid w:val="00E633E9"/>
    <w:pPr>
      <w:spacing w:after="0" w:line="240" w:lineRule="auto"/>
    </w:pPr>
    <w:rPr>
      <w:kern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AF08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6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lobal-ecosystems.org/explore/groups/T4.1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lobal-ecosystems.org/explore/groups/T2.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lobal-ecosystems.org/explore/groups/T4.2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084B6-6F3C-4F08-BF6B-1DADBC8A0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Keith</dc:creator>
  <cp:keywords/>
  <dc:description/>
  <cp:lastModifiedBy>David Keith</cp:lastModifiedBy>
  <cp:revision>3</cp:revision>
  <dcterms:created xsi:type="dcterms:W3CDTF">2025-09-29T02:33:00Z</dcterms:created>
  <dcterms:modified xsi:type="dcterms:W3CDTF">2025-09-29T02:36:00Z</dcterms:modified>
</cp:coreProperties>
</file>