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091DC" w14:textId="1E914B5C" w:rsidR="005E2AF0" w:rsidRDefault="005E2AF0" w:rsidP="005E2AF0">
      <w:pPr>
        <w:pStyle w:val="Heading2"/>
        <w:spacing w:before="0" w:after="60" w:line="240" w:lineRule="auto"/>
      </w:pPr>
      <w:r>
        <w:t>T5.6 Semi-arid open woodlands</w:t>
      </w:r>
    </w:p>
    <w:p w14:paraId="57F86057" w14:textId="381AAC6B" w:rsidR="005E2AF0" w:rsidRDefault="009A1458" w:rsidP="005E2AF0">
      <w:pPr>
        <w:pStyle w:val="FirstParagraph"/>
        <w:spacing w:before="0" w:after="60"/>
      </w:pPr>
      <w:r>
        <w:rPr>
          <w:noProof/>
          <w:lang w:eastAsia="en-AU"/>
        </w:rPr>
        <w:drawing>
          <wp:anchor distT="0" distB="0" distL="114300" distR="114300" simplePos="0" relativeHeight="251673600" behindDoc="0" locked="0" layoutInCell="1" allowOverlap="1" wp14:anchorId="63C611C3" wp14:editId="5F66459C">
            <wp:simplePos x="0" y="0"/>
            <wp:positionH relativeFrom="column">
              <wp:posOffset>-635</wp:posOffset>
            </wp:positionH>
            <wp:positionV relativeFrom="paragraph">
              <wp:posOffset>1927860</wp:posOffset>
            </wp:positionV>
            <wp:extent cx="3049270" cy="2287270"/>
            <wp:effectExtent l="0" t="0" r="0" b="0"/>
            <wp:wrapSquare wrapText="bothSides"/>
            <wp:docPr id="1594822446" name="Picture 3" descr="A group of people in a fie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22446" name="Picture 3" descr="A group of people in a fiel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927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2AF0">
        <w:rPr>
          <w:b/>
          <w:i/>
        </w:rPr>
        <w:t>Ecosystem properties</w:t>
      </w:r>
      <w:r w:rsidR="005E2AF0">
        <w:t>: The</w:t>
      </w:r>
      <w:r w:rsidR="00D4720C">
        <w:t>se</w:t>
      </w:r>
      <w:r w:rsidR="00265E29">
        <w:t xml:space="preserve"> ecosystems</w:t>
      </w:r>
      <w:r w:rsidR="005E2AF0">
        <w:t xml:space="preserve"> include a sparse to open layer of low trees commonly </w:t>
      </w:r>
      <w:r w:rsidR="00EF3C18">
        <w:t>3</w:t>
      </w:r>
      <w:r w:rsidR="005E2AF0">
        <w:t xml:space="preserve">-10 m tall, </w:t>
      </w:r>
      <w:r w:rsidR="00813833">
        <w:t xml:space="preserve">with an open cover of shrubs and highly variable </w:t>
      </w:r>
      <w:r w:rsidR="00B269BF">
        <w:t xml:space="preserve">and ephemeral </w:t>
      </w:r>
      <w:r w:rsidR="00813833">
        <w:t xml:space="preserve">ground vegetation of grasses and forbs. </w:t>
      </w:r>
      <w:r w:rsidR="00265E29">
        <w:t>They differ from T4.4 Subhumid temperate woodlands in having sparser vegetation with lower stature</w:t>
      </w:r>
      <w:r w:rsidR="006C0EF6">
        <w:t>, lower and more interannually variable productivity,</w:t>
      </w:r>
      <w:r w:rsidR="00265E29">
        <w:t xml:space="preserve"> and </w:t>
      </w:r>
      <w:r w:rsidR="006C0EF6">
        <w:t>greater</w:t>
      </w:r>
      <w:r w:rsidR="00265E29">
        <w:t xml:space="preserve"> representation of xeric traits </w:t>
      </w:r>
      <w:r w:rsidR="00CA2DA7">
        <w:t xml:space="preserve">and opportunist life cycles </w:t>
      </w:r>
      <w:r w:rsidR="00265E29">
        <w:t xml:space="preserve">in both plants and animals. Trees and long-lived shrubs are </w:t>
      </w:r>
      <w:r w:rsidR="00B269BF">
        <w:t xml:space="preserve">evergreen </w:t>
      </w:r>
      <w:r w:rsidR="00265E29">
        <w:t xml:space="preserve">stress-tolerators with </w:t>
      </w:r>
      <w:r w:rsidR="006C0EF6">
        <w:t>s</w:t>
      </w:r>
      <w:r w:rsidR="00265E29">
        <w:t xml:space="preserve">low growth rates, low or intermittent fecundity, deep and laterally extensive root systems, and </w:t>
      </w:r>
      <w:proofErr w:type="spellStart"/>
      <w:r w:rsidR="00272424">
        <w:t>nanophyll</w:t>
      </w:r>
      <w:proofErr w:type="spellEnd"/>
      <w:r w:rsidR="00272424">
        <w:t xml:space="preserve">-microphyll </w:t>
      </w:r>
      <w:r w:rsidR="00265E29">
        <w:t>lea</w:t>
      </w:r>
      <w:r w:rsidR="00272424">
        <w:t>ves</w:t>
      </w:r>
      <w:r w:rsidR="00265E29">
        <w:t xml:space="preserve"> </w:t>
      </w:r>
      <w:r w:rsidR="00272424">
        <w:t>with</w:t>
      </w:r>
      <w:r w:rsidR="00265E29">
        <w:t xml:space="preserve"> </w:t>
      </w:r>
      <w:r w:rsidR="00933F60">
        <w:t xml:space="preserve">low SLA, </w:t>
      </w:r>
      <w:r w:rsidR="00265E29">
        <w:t xml:space="preserve">sunken diurnally regulated stomates, thick cuticles, hairs, </w:t>
      </w:r>
      <w:r w:rsidR="00933F60">
        <w:t>heat</w:t>
      </w:r>
      <w:r w:rsidR="00272424">
        <w:t>-</w:t>
      </w:r>
      <w:r w:rsidR="00933F60">
        <w:t xml:space="preserve">reflective coloration and vertical orientation. </w:t>
      </w:r>
      <w:r w:rsidR="00B71A8A">
        <w:t xml:space="preserve">They structure habitats of vertebrates and invertebrates dependent on tree canopies, woody debris and leaf litter. </w:t>
      </w:r>
      <w:r w:rsidR="006C0EF6">
        <w:t>Many</w:t>
      </w:r>
      <w:r w:rsidR="00933F60">
        <w:t xml:space="preserve"> grasses</w:t>
      </w:r>
      <w:r w:rsidR="00B269BF">
        <w:t>,</w:t>
      </w:r>
      <w:r w:rsidR="00933F60">
        <w:t xml:space="preserve"> forbs </w:t>
      </w:r>
      <w:r w:rsidR="00B269BF">
        <w:t xml:space="preserve">and some shrubs </w:t>
      </w:r>
      <w:r w:rsidR="00933F60">
        <w:t xml:space="preserve">have short-lived standing plant </w:t>
      </w:r>
      <w:r w:rsidR="00272424">
        <w:t>phases</w:t>
      </w:r>
      <w:r w:rsidR="00933F60">
        <w:t xml:space="preserve"> and long-lived soil seed banks cued by substantial rainfall events and</w:t>
      </w:r>
      <w:r w:rsidR="00CA2DA7">
        <w:t>, in some cases,</w:t>
      </w:r>
      <w:r w:rsidR="00933F60">
        <w:t xml:space="preserve"> seasonal dormancy</w:t>
      </w:r>
      <w:r w:rsidR="00CA2DA7">
        <w:t xml:space="preserve"> to avoid desiccating summers</w:t>
      </w:r>
      <w:r w:rsidR="00933F60">
        <w:t xml:space="preserve">. </w:t>
      </w:r>
      <w:r w:rsidR="00CA2DA7">
        <w:t xml:space="preserve">Grasses may include species with either C3 or C4 photosynthetic pathways, but C4 is typically dominant. </w:t>
      </w:r>
      <w:r w:rsidR="00933F60">
        <w:t xml:space="preserve">Most mammals are nocturnal, sheltering below ground or under shade trees during hot days. </w:t>
      </w:r>
      <w:r w:rsidR="00CA2DA7">
        <w:t>They include fossorial species that contribute to soil turnover and nutrient cycling</w:t>
      </w:r>
      <w:r w:rsidR="00B269BF">
        <w:t xml:space="preserve">, species with physiological and </w:t>
      </w:r>
      <w:proofErr w:type="spellStart"/>
      <w:r w:rsidR="00B269BF">
        <w:t>behavioural</w:t>
      </w:r>
      <w:proofErr w:type="spellEnd"/>
      <w:r w:rsidR="00B269BF">
        <w:t xml:space="preserve"> water conservation traits,</w:t>
      </w:r>
      <w:r w:rsidR="00CA2DA7">
        <w:t xml:space="preserve"> as well as small mammals whose populations fluctuate </w:t>
      </w:r>
      <w:r w:rsidR="001476B6">
        <w:t>with</w:t>
      </w:r>
      <w:r w:rsidR="00CA2DA7">
        <w:t xml:space="preserve"> interannual rainfall variation.</w:t>
      </w:r>
      <w:r w:rsidR="00933F60">
        <w:t xml:space="preserve"> </w:t>
      </w:r>
      <w:proofErr w:type="spellStart"/>
      <w:r w:rsidR="00272424">
        <w:t>Granivory</w:t>
      </w:r>
      <w:proofErr w:type="spellEnd"/>
      <w:r w:rsidR="00272424">
        <w:t xml:space="preserve"> is conspicuous among birds and small mammals, while herbivores with medium body sizes may influence vegetation structure and composition, particularly recruitment of long-lived woody plants.</w:t>
      </w:r>
      <w:r w:rsidR="00E0323B">
        <w:t xml:space="preserve"> </w:t>
      </w:r>
      <w:r w:rsidR="002819A1">
        <w:t>Some semi-arid woodlands are fire-prone and</w:t>
      </w:r>
      <w:r w:rsidR="00E0323B">
        <w:t xml:space="preserve"> include species with fire-cued life histories. </w:t>
      </w:r>
    </w:p>
    <w:p w14:paraId="6E94C504" w14:textId="30C69D8A" w:rsidR="005E2AF0" w:rsidRDefault="0096264E" w:rsidP="005E2AF0">
      <w:pPr>
        <w:pStyle w:val="Heading4"/>
        <w:spacing w:before="0" w:line="240" w:lineRule="auto"/>
      </w:pPr>
      <w:r>
        <w:rPr>
          <w:sz w:val="20"/>
        </w:rPr>
        <w:t xml:space="preserve">Mallee </w:t>
      </w:r>
      <w:r w:rsidR="005E2AF0">
        <w:rPr>
          <w:sz w:val="20"/>
        </w:rPr>
        <w:t>woodland</w:t>
      </w:r>
      <w:r>
        <w:rPr>
          <w:sz w:val="20"/>
        </w:rPr>
        <w:t xml:space="preserve"> with low trees, perennial shrubs, ephemeral grasses and forbs</w:t>
      </w:r>
      <w:r w:rsidR="0079406D">
        <w:rPr>
          <w:sz w:val="20"/>
        </w:rPr>
        <w:t xml:space="preserve"> in a wet year</w:t>
      </w:r>
      <w:r w:rsidR="005E2AF0">
        <w:rPr>
          <w:sz w:val="20"/>
        </w:rPr>
        <w:t xml:space="preserve">, </w:t>
      </w:r>
      <w:r>
        <w:rPr>
          <w:sz w:val="20"/>
        </w:rPr>
        <w:t>Tarawi</w:t>
      </w:r>
      <w:r w:rsidR="005E2AF0">
        <w:rPr>
          <w:sz w:val="20"/>
        </w:rPr>
        <w:t>, Australia.</w:t>
      </w:r>
    </w:p>
    <w:p w14:paraId="5C571B5E" w14:textId="1FA7EF0D" w:rsidR="005E2AF0" w:rsidRDefault="006342BD" w:rsidP="005E2AF0">
      <w:pPr>
        <w:pStyle w:val="Heading5"/>
        <w:spacing w:before="0" w:after="60" w:line="240" w:lineRule="auto"/>
      </w:pPr>
      <w:r>
        <w:rPr>
          <w:b/>
          <w:i/>
          <w:noProof/>
        </w:rPr>
        <w:drawing>
          <wp:anchor distT="0" distB="0" distL="114300" distR="114300" simplePos="0" relativeHeight="251668480" behindDoc="0" locked="0" layoutInCell="1" allowOverlap="1" wp14:anchorId="735C756D" wp14:editId="09BFBDE0">
            <wp:simplePos x="0" y="0"/>
            <wp:positionH relativeFrom="column">
              <wp:posOffset>3488690</wp:posOffset>
            </wp:positionH>
            <wp:positionV relativeFrom="paragraph">
              <wp:posOffset>144780</wp:posOffset>
            </wp:positionV>
            <wp:extent cx="3138805" cy="2526665"/>
            <wp:effectExtent l="0" t="0" r="4445" b="6985"/>
            <wp:wrapSquare wrapText="bothSides"/>
            <wp:docPr id="6048740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8805" cy="2526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2AF0">
        <w:rPr>
          <w:sz w:val="18"/>
        </w:rPr>
        <w:t>Credit: David Keith</w:t>
      </w:r>
    </w:p>
    <w:p w14:paraId="14C1DB2A" w14:textId="78A287C2" w:rsidR="005E2AF0" w:rsidRDefault="005E2AF0" w:rsidP="005E2AF0">
      <w:pPr>
        <w:pStyle w:val="Figure"/>
        <w:spacing w:after="60"/>
      </w:pPr>
      <w:r>
        <w:rPr>
          <w:b/>
          <w:i/>
        </w:rPr>
        <w:t>Ecological drivers</w:t>
      </w:r>
      <w:r>
        <w:t xml:space="preserve">: </w:t>
      </w:r>
      <w:r w:rsidR="00BD3539">
        <w:t xml:space="preserve">These open ecosystems are transitional on a water </w:t>
      </w:r>
      <w:r w:rsidR="00C27F93">
        <w:t xml:space="preserve">balance </w:t>
      </w:r>
      <w:r w:rsidR="00BD3539">
        <w:t xml:space="preserve">gradient between </w:t>
      </w:r>
      <w:r w:rsidR="00C27F93">
        <w:t xml:space="preserve">deserts and </w:t>
      </w:r>
      <w:r w:rsidR="00BD3539">
        <w:t>grassy ecosystems</w:t>
      </w:r>
      <w:r w:rsidR="00E0323B">
        <w:t>. They</w:t>
      </w:r>
      <w:r w:rsidR="00BD3539">
        <w:t xml:space="preserve"> experience a substantial</w:t>
      </w:r>
      <w:r w:rsidR="00E0323B">
        <w:t>,</w:t>
      </w:r>
      <w:r w:rsidR="00BD3539">
        <w:t xml:space="preserve"> interannually variable</w:t>
      </w:r>
      <w:r>
        <w:t xml:space="preserve"> water deficit</w:t>
      </w:r>
      <w:r w:rsidR="002819A1">
        <w:t>, peaking with</w:t>
      </w:r>
      <w:r>
        <w:t xml:space="preserve"> evapotranspiration in hot summers. Mean annual rainfall is </w:t>
      </w:r>
      <w:r w:rsidR="002819A1">
        <w:t>200</w:t>
      </w:r>
      <w:r>
        <w:t>–</w:t>
      </w:r>
      <w:r w:rsidR="002819A1">
        <w:t>5</w:t>
      </w:r>
      <w:r w:rsidR="002B3EE6">
        <w:t>0</w:t>
      </w:r>
      <w:r>
        <w:t>0 mm</w:t>
      </w:r>
      <w:r w:rsidR="00C27F93">
        <w:t>, weakly seasonal</w:t>
      </w:r>
      <w:r>
        <w:t xml:space="preserve">. </w:t>
      </w:r>
      <w:r w:rsidR="002819A1">
        <w:t>T</w:t>
      </w:r>
      <w:r>
        <w:t xml:space="preserve">emperatures </w:t>
      </w:r>
      <w:r w:rsidR="002819A1">
        <w:t xml:space="preserve">may fall </w:t>
      </w:r>
      <w:r w:rsidR="00C27F93">
        <w:t xml:space="preserve">below </w:t>
      </w:r>
      <w:r w:rsidR="002819A1">
        <w:t>zero in winter</w:t>
      </w:r>
      <w:r>
        <w:t xml:space="preserve">. Soils </w:t>
      </w:r>
      <w:r w:rsidR="002819A1">
        <w:t>may be</w:t>
      </w:r>
      <w:r>
        <w:t xml:space="preserve"> fine-textured </w:t>
      </w:r>
      <w:r w:rsidR="002819A1">
        <w:t xml:space="preserve">or sandy, </w:t>
      </w:r>
      <w:r w:rsidR="0096264E">
        <w:t>red</w:t>
      </w:r>
      <w:r w:rsidR="00C27F93">
        <w:t xml:space="preserve"> or pale</w:t>
      </w:r>
      <w:r w:rsidR="0096264E">
        <w:t xml:space="preserve">, </w:t>
      </w:r>
      <w:r w:rsidR="002819A1">
        <w:t xml:space="preserve">with moderate to low </w:t>
      </w:r>
      <w:r>
        <w:t>fertil</w:t>
      </w:r>
      <w:r w:rsidR="002819A1">
        <w:t>ity and reliabl</w:t>
      </w:r>
      <w:r w:rsidR="00C27F93">
        <w:t>y</w:t>
      </w:r>
      <w:r w:rsidR="002819A1">
        <w:t xml:space="preserve"> moist only at depth</w:t>
      </w:r>
      <w:r>
        <w:t xml:space="preserve">. </w:t>
      </w:r>
      <w:r w:rsidR="002819A1">
        <w:t xml:space="preserve">While some ecosystems within this group are not fire-prone, others experience canopy fires at multi-decadal </w:t>
      </w:r>
      <w:r w:rsidR="00C27F93">
        <w:t>intervals</w:t>
      </w:r>
      <w:r w:rsidR="002819A1">
        <w:t>, driven largely by ephemeral fuels after wet periods</w:t>
      </w:r>
      <w:r>
        <w:t>.</w:t>
      </w:r>
    </w:p>
    <w:p w14:paraId="6C0190F4" w14:textId="1813FF7F" w:rsidR="005E2AF0" w:rsidRDefault="0073727A" w:rsidP="005E2AF0">
      <w:pPr>
        <w:pStyle w:val="FirstParagraph"/>
        <w:spacing w:before="0" w:after="60"/>
      </w:pPr>
      <w:r>
        <w:rPr>
          <w:b/>
          <w:i/>
          <w:noProof/>
        </w:rPr>
        <w:drawing>
          <wp:anchor distT="0" distB="0" distL="114300" distR="114300" simplePos="0" relativeHeight="251674624" behindDoc="0" locked="0" layoutInCell="1" allowOverlap="1" wp14:anchorId="0F67AB92" wp14:editId="328D9F54">
            <wp:simplePos x="0" y="0"/>
            <wp:positionH relativeFrom="column">
              <wp:posOffset>-76200</wp:posOffset>
            </wp:positionH>
            <wp:positionV relativeFrom="paragraph">
              <wp:posOffset>581660</wp:posOffset>
            </wp:positionV>
            <wp:extent cx="3778250" cy="1987550"/>
            <wp:effectExtent l="0" t="0" r="0" b="0"/>
            <wp:wrapSquare wrapText="bothSides"/>
            <wp:docPr id="461884126" name="Picture 1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884126" name="Picture 1" descr="A map of the world&#10;&#10;AI-generated content may be incorrect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28" t="15636" r="2338" b="8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250" cy="1987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2AF0">
        <w:rPr>
          <w:b/>
          <w:i/>
        </w:rPr>
        <w:t>Distribution</w:t>
      </w:r>
      <w:r w:rsidR="005E2AF0">
        <w:t xml:space="preserve">: </w:t>
      </w:r>
      <w:r w:rsidR="00FB3651">
        <w:t>Semi-arid regions of</w:t>
      </w:r>
      <w:r w:rsidR="005E2AF0">
        <w:t xml:space="preserve"> southe</w:t>
      </w:r>
      <w:r w:rsidR="00FB3651">
        <w:t>rn</w:t>
      </w:r>
      <w:r w:rsidR="005E2AF0">
        <w:t xml:space="preserve"> Australia, South America, western and eastern North America, the Mediterranean region, and Eurasia.</w:t>
      </w:r>
    </w:p>
    <w:p w14:paraId="1322D169" w14:textId="523D62CF" w:rsidR="005E2AF0" w:rsidRDefault="005E2AF0" w:rsidP="00DB7B53">
      <w:pPr>
        <w:pStyle w:val="Heading3"/>
        <w:spacing w:before="0" w:after="0" w:line="240" w:lineRule="auto"/>
      </w:pPr>
      <w:r>
        <w:t>References:</w:t>
      </w:r>
    </w:p>
    <w:p w14:paraId="5A3B262A" w14:textId="5762310E" w:rsidR="00F846A7" w:rsidRDefault="00F846A7" w:rsidP="00DB7B53">
      <w:pPr>
        <w:spacing w:after="60" w:line="240" w:lineRule="auto"/>
        <w:ind w:right="-166"/>
      </w:pPr>
      <w:r w:rsidRPr="00F674BD">
        <w:rPr>
          <w:sz w:val="18"/>
          <w:szCs w:val="20"/>
        </w:rPr>
        <w:t>Keith DA, Simpson CC</w:t>
      </w:r>
      <w:r>
        <w:rPr>
          <w:sz w:val="18"/>
          <w:szCs w:val="20"/>
        </w:rPr>
        <w:t>,</w:t>
      </w:r>
      <w:r w:rsidRPr="00F674BD">
        <w:rPr>
          <w:sz w:val="18"/>
          <w:szCs w:val="20"/>
        </w:rPr>
        <w:t xml:space="preserve"> Tozer </w:t>
      </w:r>
      <w:r w:rsidR="00773884">
        <w:rPr>
          <w:sz w:val="18"/>
          <w:szCs w:val="20"/>
        </w:rPr>
        <w:t>M</w:t>
      </w:r>
      <w:r w:rsidRPr="00F674BD">
        <w:rPr>
          <w:sz w:val="18"/>
          <w:szCs w:val="20"/>
        </w:rPr>
        <w:t>G (</w:t>
      </w:r>
      <w:r>
        <w:rPr>
          <w:sz w:val="18"/>
          <w:szCs w:val="20"/>
        </w:rPr>
        <w:t>2020</w:t>
      </w:r>
      <w:r w:rsidRPr="00F674BD">
        <w:rPr>
          <w:sz w:val="18"/>
          <w:szCs w:val="20"/>
        </w:rPr>
        <w:t xml:space="preserve">) Mallee and </w:t>
      </w:r>
      <w:proofErr w:type="spellStart"/>
      <w:r w:rsidRPr="00F674BD">
        <w:rPr>
          <w:sz w:val="18"/>
          <w:szCs w:val="20"/>
        </w:rPr>
        <w:t>maarlok</w:t>
      </w:r>
      <w:proofErr w:type="spellEnd"/>
      <w:r w:rsidRPr="00F674BD">
        <w:rPr>
          <w:sz w:val="18"/>
          <w:szCs w:val="20"/>
        </w:rPr>
        <w:t xml:space="preserve"> ecosystems of southern Australia. </w:t>
      </w:r>
      <w:r w:rsidRPr="00F674BD">
        <w:rPr>
          <w:sz w:val="18"/>
          <w:szCs w:val="20"/>
          <w:lang w:val="en-US"/>
        </w:rPr>
        <w:t>In: ‘Encyclopedia of the world’s biomes’ (Eds. MI Goldstein</w:t>
      </w:r>
      <w:r w:rsidR="00AA0982">
        <w:rPr>
          <w:sz w:val="18"/>
          <w:szCs w:val="20"/>
          <w:lang w:val="en-US"/>
        </w:rPr>
        <w:t>,</w:t>
      </w:r>
      <w:r w:rsidRPr="00F674BD">
        <w:rPr>
          <w:sz w:val="18"/>
          <w:szCs w:val="20"/>
          <w:lang w:val="en-US"/>
        </w:rPr>
        <w:t xml:space="preserve"> DA DellaSala)</w:t>
      </w:r>
      <w:r>
        <w:rPr>
          <w:sz w:val="18"/>
          <w:szCs w:val="20"/>
          <w:lang w:val="en-US"/>
        </w:rPr>
        <w:t>, pp869-879</w:t>
      </w:r>
      <w:r w:rsidRPr="00F674BD">
        <w:rPr>
          <w:sz w:val="18"/>
          <w:szCs w:val="20"/>
          <w:lang w:val="en-US"/>
        </w:rPr>
        <w:t>. Elsevier, Amsterdam.</w:t>
      </w:r>
    </w:p>
    <w:p w14:paraId="68FB0592" w14:textId="75995B92" w:rsidR="00AF0810" w:rsidRDefault="00AF0810" w:rsidP="00DB7B53">
      <w:pPr>
        <w:spacing w:after="60" w:line="240" w:lineRule="auto"/>
        <w:ind w:right="-166"/>
        <w:rPr>
          <w:sz w:val="18"/>
          <w:szCs w:val="18"/>
          <w:lang w:val="en-US"/>
        </w:rPr>
      </w:pPr>
      <w:proofErr w:type="spellStart"/>
      <w:r w:rsidRPr="008E0BA8">
        <w:rPr>
          <w:sz w:val="18"/>
          <w:szCs w:val="18"/>
          <w:lang w:val="en-US"/>
        </w:rPr>
        <w:t>Muldavin</w:t>
      </w:r>
      <w:proofErr w:type="spellEnd"/>
      <w:r w:rsidRPr="008E0BA8">
        <w:rPr>
          <w:sz w:val="18"/>
          <w:szCs w:val="18"/>
          <w:lang w:val="en-US"/>
        </w:rPr>
        <w:t xml:space="preserve"> E, Triepke FJ (2020) North American </w:t>
      </w:r>
      <w:r w:rsidR="00AA0982">
        <w:rPr>
          <w:sz w:val="18"/>
          <w:szCs w:val="18"/>
          <w:lang w:val="en-US"/>
        </w:rPr>
        <w:t>p</w:t>
      </w:r>
      <w:r w:rsidRPr="008E0BA8">
        <w:rPr>
          <w:sz w:val="18"/>
          <w:szCs w:val="18"/>
          <w:lang w:val="en-US"/>
        </w:rPr>
        <w:t>inyon–</w:t>
      </w:r>
      <w:r w:rsidR="00AA0982">
        <w:rPr>
          <w:sz w:val="18"/>
          <w:szCs w:val="18"/>
          <w:lang w:val="en-US"/>
        </w:rPr>
        <w:t>j</w:t>
      </w:r>
      <w:r w:rsidRPr="008E0BA8">
        <w:rPr>
          <w:sz w:val="18"/>
          <w:szCs w:val="18"/>
          <w:lang w:val="en-US"/>
        </w:rPr>
        <w:t xml:space="preserve">uniper </w:t>
      </w:r>
      <w:r w:rsidR="00AA0982">
        <w:rPr>
          <w:sz w:val="18"/>
          <w:szCs w:val="18"/>
          <w:lang w:val="en-US"/>
        </w:rPr>
        <w:t>w</w:t>
      </w:r>
      <w:r w:rsidRPr="008E0BA8">
        <w:rPr>
          <w:sz w:val="18"/>
          <w:szCs w:val="18"/>
          <w:lang w:val="en-US"/>
        </w:rPr>
        <w:t xml:space="preserve">oodlands: Ecological composition, dynamics and future trends. In: ‘Encyclopedia of the world’s biomes’ (Eds. </w:t>
      </w:r>
      <w:r w:rsidR="00AA0982" w:rsidRPr="00AA0982">
        <w:rPr>
          <w:sz w:val="18"/>
          <w:szCs w:val="18"/>
          <w:lang w:val="en-US"/>
        </w:rPr>
        <w:t xml:space="preserve">MI Goldstein, DA </w:t>
      </w:r>
      <w:proofErr w:type="gramStart"/>
      <w:r w:rsidR="00AA0982" w:rsidRPr="00AA0982">
        <w:rPr>
          <w:sz w:val="18"/>
          <w:szCs w:val="18"/>
          <w:lang w:val="en-US"/>
        </w:rPr>
        <w:t>DellaSala</w:t>
      </w:r>
      <w:r w:rsidR="00AA0982" w:rsidRPr="00AA0982" w:rsidDel="00AA0982">
        <w:rPr>
          <w:sz w:val="18"/>
          <w:szCs w:val="18"/>
          <w:lang w:val="en-US"/>
        </w:rPr>
        <w:t xml:space="preserve"> </w:t>
      </w:r>
      <w:r w:rsidRPr="008E0BA8">
        <w:rPr>
          <w:sz w:val="18"/>
          <w:szCs w:val="18"/>
          <w:lang w:val="en-US"/>
        </w:rPr>
        <w:t>)</w:t>
      </w:r>
      <w:proofErr w:type="gramEnd"/>
      <w:r w:rsidRPr="008E0BA8">
        <w:rPr>
          <w:sz w:val="18"/>
          <w:szCs w:val="18"/>
          <w:lang w:val="en-US"/>
        </w:rPr>
        <w:t>, pp 516-531. Elsevier, Amsterdam.</w:t>
      </w:r>
    </w:p>
    <w:p w14:paraId="0DFBB70C" w14:textId="1F64333D" w:rsidR="00DE16D9" w:rsidRPr="00DE16D9" w:rsidRDefault="00DE16D9" w:rsidP="00DB7B53">
      <w:pPr>
        <w:spacing w:after="60" w:line="240" w:lineRule="auto"/>
        <w:rPr>
          <w:sz w:val="18"/>
          <w:szCs w:val="18"/>
          <w:lang w:val="en-US"/>
        </w:rPr>
      </w:pPr>
      <w:r w:rsidRPr="00DE16D9">
        <w:rPr>
          <w:sz w:val="18"/>
          <w:szCs w:val="18"/>
          <w:lang w:val="en-US"/>
        </w:rPr>
        <w:t>Oyarzabal M, Clavijo J, Oakley L</w:t>
      </w:r>
      <w:r>
        <w:rPr>
          <w:sz w:val="18"/>
          <w:szCs w:val="18"/>
          <w:lang w:val="en-US"/>
        </w:rPr>
        <w:t>et al</w:t>
      </w:r>
      <w:r w:rsidRPr="00DE16D9">
        <w:rPr>
          <w:sz w:val="18"/>
          <w:szCs w:val="18"/>
          <w:lang w:val="en-US"/>
        </w:rPr>
        <w:t>. (2018). Vegetation units of Argentina [dataset]. Southern Ecology 28, 40–63.</w:t>
      </w:r>
    </w:p>
    <w:p w14:paraId="3739AB8F" w14:textId="175AF21E" w:rsidR="005770D9" w:rsidRDefault="00DE16D9" w:rsidP="00DB7B53">
      <w:pPr>
        <w:spacing w:after="0" w:line="240" w:lineRule="auto"/>
        <w:ind w:right="-166"/>
      </w:pPr>
      <w:r w:rsidRPr="00DE16D9">
        <w:rPr>
          <w:sz w:val="18"/>
          <w:szCs w:val="18"/>
          <w:lang w:val="en-US"/>
        </w:rPr>
        <w:t>White F (1983) The vegetation of Africa. A descriptive memoir to accompany the vegetation map of Africa. UNESCO, Geneva</w:t>
      </w:r>
      <w:r w:rsidR="00AA0982">
        <w:rPr>
          <w:sz w:val="18"/>
          <w:szCs w:val="18"/>
          <w:lang w:val="en-US"/>
        </w:rPr>
        <w:t>.</w:t>
      </w:r>
    </w:p>
    <w:sectPr w:rsidR="005770D9" w:rsidSect="00706E03">
      <w:headerReference w:type="default" r:id="rId10"/>
      <w:footerReference w:type="default" r:id="rId11"/>
      <w:pgSz w:w="11906" w:h="16838"/>
      <w:pgMar w:top="567" w:right="720" w:bottom="567" w:left="720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99130" w14:textId="77777777" w:rsidR="00104190" w:rsidRDefault="00104190" w:rsidP="006C0EF6">
      <w:pPr>
        <w:spacing w:after="0" w:line="240" w:lineRule="auto"/>
      </w:pPr>
      <w:r>
        <w:separator/>
      </w:r>
    </w:p>
  </w:endnote>
  <w:endnote w:type="continuationSeparator" w:id="0">
    <w:p w14:paraId="1AB76EA2" w14:textId="77777777" w:rsidR="00104190" w:rsidRDefault="00104190" w:rsidP="006C0E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6638B" w14:textId="77777777" w:rsidR="006070E3" w:rsidRDefault="00000000">
    <w:pPr>
      <w:pStyle w:val="Footer"/>
      <w:jc w:val="center"/>
    </w:pPr>
    <w:r>
      <w:rPr>
        <w:sz w:val="16"/>
      </w:rPr>
      <w:t>Map is for illustrative purposes only and does not support spatial analyses unless formally validated.</w:t>
    </w:r>
  </w:p>
  <w:p w14:paraId="1E457F80" w14:textId="77777777" w:rsidR="006070E3" w:rsidRDefault="00000000">
    <w:pPr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76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B6AD5" w14:textId="77777777" w:rsidR="00104190" w:rsidRDefault="00104190" w:rsidP="006C0EF6">
      <w:pPr>
        <w:spacing w:after="0" w:line="240" w:lineRule="auto"/>
      </w:pPr>
      <w:r>
        <w:separator/>
      </w:r>
    </w:p>
  </w:footnote>
  <w:footnote w:type="continuationSeparator" w:id="0">
    <w:p w14:paraId="412F773E" w14:textId="77777777" w:rsidR="00104190" w:rsidRDefault="00104190" w:rsidP="006C0E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BC7A3" w14:textId="0237A9E8" w:rsidR="006070E3" w:rsidRPr="00105E76" w:rsidRDefault="00000000" w:rsidP="004255FC">
    <w:pPr>
      <w:pStyle w:val="Header"/>
      <w:jc w:val="right"/>
      <w:rPr>
        <w:i/>
        <w:iCs/>
        <w:color w:val="808080" w:themeColor="background1" w:themeShade="80"/>
      </w:rPr>
    </w:pPr>
    <w:r w:rsidRPr="00E57DB5">
      <w:rPr>
        <w:i/>
        <w:iCs/>
        <w:color w:val="808080" w:themeColor="background1" w:themeShade="80"/>
      </w:rPr>
      <w:t>Contributors:</w:t>
    </w:r>
    <w:r w:rsidRPr="00E57DB5">
      <w:rPr>
        <w:color w:val="808080" w:themeColor="background1" w:themeShade="80"/>
      </w:rPr>
      <w:t xml:space="preserve"> </w:t>
    </w:r>
    <w:r w:rsidRPr="00105E76">
      <w:rPr>
        <w:i/>
        <w:iCs/>
        <w:color w:val="808080" w:themeColor="background1" w:themeShade="80"/>
      </w:rPr>
      <w:t>DA Keith</w:t>
    </w:r>
    <w:r w:rsidR="00AA0982">
      <w:rPr>
        <w:i/>
        <w:iCs/>
        <w:color w:val="808080" w:themeColor="background1" w:themeShade="80"/>
      </w:rPr>
      <w:t>, J Franklin, MG Tozer</w:t>
    </w:r>
  </w:p>
  <w:p w14:paraId="1556B32D" w14:textId="77777777" w:rsidR="006070E3" w:rsidRDefault="006070E3" w:rsidP="004255FC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D69"/>
    <w:rsid w:val="000126FF"/>
    <w:rsid w:val="0005367E"/>
    <w:rsid w:val="000E162B"/>
    <w:rsid w:val="000E46FD"/>
    <w:rsid w:val="000F747D"/>
    <w:rsid w:val="00104190"/>
    <w:rsid w:val="001476B6"/>
    <w:rsid w:val="001664B2"/>
    <w:rsid w:val="001A076F"/>
    <w:rsid w:val="001B5845"/>
    <w:rsid w:val="00252DC8"/>
    <w:rsid w:val="00265E29"/>
    <w:rsid w:val="00272424"/>
    <w:rsid w:val="002819A1"/>
    <w:rsid w:val="002B3EE6"/>
    <w:rsid w:val="00325BFF"/>
    <w:rsid w:val="00332798"/>
    <w:rsid w:val="003B0D22"/>
    <w:rsid w:val="003F26B9"/>
    <w:rsid w:val="00404B2F"/>
    <w:rsid w:val="004063FE"/>
    <w:rsid w:val="00412312"/>
    <w:rsid w:val="0041366D"/>
    <w:rsid w:val="00433B73"/>
    <w:rsid w:val="0043797F"/>
    <w:rsid w:val="004F65FE"/>
    <w:rsid w:val="005028F1"/>
    <w:rsid w:val="005129FF"/>
    <w:rsid w:val="00536B81"/>
    <w:rsid w:val="005770D9"/>
    <w:rsid w:val="005D6422"/>
    <w:rsid w:val="005E2AF0"/>
    <w:rsid w:val="006070E3"/>
    <w:rsid w:val="006342BD"/>
    <w:rsid w:val="00675615"/>
    <w:rsid w:val="006962AF"/>
    <w:rsid w:val="006C0EF6"/>
    <w:rsid w:val="00706E03"/>
    <w:rsid w:val="00720EE5"/>
    <w:rsid w:val="00723CB9"/>
    <w:rsid w:val="0073727A"/>
    <w:rsid w:val="00773884"/>
    <w:rsid w:val="007860E3"/>
    <w:rsid w:val="0079406D"/>
    <w:rsid w:val="00813833"/>
    <w:rsid w:val="00816F4C"/>
    <w:rsid w:val="00851475"/>
    <w:rsid w:val="00854A81"/>
    <w:rsid w:val="008770FA"/>
    <w:rsid w:val="008E0BA8"/>
    <w:rsid w:val="00933F60"/>
    <w:rsid w:val="0096264E"/>
    <w:rsid w:val="00980C04"/>
    <w:rsid w:val="009A1458"/>
    <w:rsid w:val="009D1202"/>
    <w:rsid w:val="00A00F6C"/>
    <w:rsid w:val="00AA0982"/>
    <w:rsid w:val="00AF0810"/>
    <w:rsid w:val="00B269BF"/>
    <w:rsid w:val="00B71A8A"/>
    <w:rsid w:val="00B8759F"/>
    <w:rsid w:val="00B953F8"/>
    <w:rsid w:val="00BD3539"/>
    <w:rsid w:val="00BD58BC"/>
    <w:rsid w:val="00BE3D75"/>
    <w:rsid w:val="00BF1C17"/>
    <w:rsid w:val="00C12908"/>
    <w:rsid w:val="00C27F93"/>
    <w:rsid w:val="00C56DE5"/>
    <w:rsid w:val="00CA2DA7"/>
    <w:rsid w:val="00D07DF0"/>
    <w:rsid w:val="00D4720C"/>
    <w:rsid w:val="00D50D7A"/>
    <w:rsid w:val="00DB7B53"/>
    <w:rsid w:val="00DD259F"/>
    <w:rsid w:val="00DE16D9"/>
    <w:rsid w:val="00DE36A4"/>
    <w:rsid w:val="00DF4A22"/>
    <w:rsid w:val="00E012BE"/>
    <w:rsid w:val="00E031FF"/>
    <w:rsid w:val="00E0323B"/>
    <w:rsid w:val="00E155F7"/>
    <w:rsid w:val="00E506AD"/>
    <w:rsid w:val="00E55E46"/>
    <w:rsid w:val="00E633E9"/>
    <w:rsid w:val="00EC6409"/>
    <w:rsid w:val="00EF3C18"/>
    <w:rsid w:val="00F00525"/>
    <w:rsid w:val="00F674BD"/>
    <w:rsid w:val="00F73D69"/>
    <w:rsid w:val="00F77098"/>
    <w:rsid w:val="00F846A7"/>
    <w:rsid w:val="00F85952"/>
    <w:rsid w:val="00FB3651"/>
    <w:rsid w:val="00FC2058"/>
    <w:rsid w:val="00FC3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6510E4"/>
  <w15:chartTrackingRefBased/>
  <w15:docId w15:val="{C68FA6B3-BA5D-4A97-9356-ACA5DDEBD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D69"/>
    <w:pPr>
      <w:spacing w:after="200" w:line="276" w:lineRule="auto"/>
    </w:pPr>
    <w:rPr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3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3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3D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73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73D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D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3D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3D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D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D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D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D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D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D6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3D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3D69"/>
    <w:rPr>
      <w:kern w:val="0"/>
    </w:rPr>
  </w:style>
  <w:style w:type="paragraph" w:styleId="Footer">
    <w:name w:val="footer"/>
    <w:basedOn w:val="Normal"/>
    <w:link w:val="FooterChar"/>
    <w:uiPriority w:val="99"/>
    <w:unhideWhenUsed/>
    <w:rsid w:val="00F73D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3D69"/>
    <w:rPr>
      <w:kern w:val="0"/>
    </w:rPr>
  </w:style>
  <w:style w:type="character" w:styleId="Hyperlink">
    <w:name w:val="Hyperlink"/>
    <w:basedOn w:val="DefaultParagraphFont"/>
    <w:uiPriority w:val="99"/>
    <w:unhideWhenUsed/>
    <w:rsid w:val="00F73D69"/>
    <w:rPr>
      <w:color w:val="0563C1" w:themeColor="hyperlink"/>
      <w:u w:val="single"/>
    </w:rPr>
  </w:style>
  <w:style w:type="paragraph" w:customStyle="1" w:styleId="FirstParagraph">
    <w:name w:val="First Paragraph"/>
    <w:basedOn w:val="BodyText"/>
    <w:next w:val="BodyText"/>
    <w:qFormat/>
    <w:rsid w:val="00F73D69"/>
    <w:pPr>
      <w:spacing w:before="180" w:after="180" w:line="240" w:lineRule="auto"/>
    </w:pPr>
    <w:rPr>
      <w:szCs w:val="24"/>
      <w:lang w:val="en-US"/>
    </w:rPr>
  </w:style>
  <w:style w:type="paragraph" w:customStyle="1" w:styleId="Compact">
    <w:name w:val="Compact"/>
    <w:basedOn w:val="BodyText"/>
    <w:qFormat/>
    <w:rsid w:val="00F73D69"/>
    <w:pPr>
      <w:spacing w:before="36" w:after="36" w:line="240" w:lineRule="auto"/>
    </w:pPr>
    <w:rPr>
      <w:szCs w:val="24"/>
      <w:lang w:val="en-US"/>
    </w:rPr>
  </w:style>
  <w:style w:type="paragraph" w:customStyle="1" w:styleId="Figure">
    <w:name w:val="Figure"/>
    <w:basedOn w:val="Normal"/>
    <w:rsid w:val="00F73D69"/>
    <w:pPr>
      <w:spacing w:line="240" w:lineRule="auto"/>
    </w:pPr>
    <w:rPr>
      <w:szCs w:val="24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F73D6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73D69"/>
    <w:rPr>
      <w:kern w:val="0"/>
      <w14:ligatures w14:val="none"/>
    </w:rPr>
  </w:style>
  <w:style w:type="paragraph" w:styleId="Revision">
    <w:name w:val="Revision"/>
    <w:hidden/>
    <w:uiPriority w:val="99"/>
    <w:semiHidden/>
    <w:rsid w:val="00E633E9"/>
    <w:pPr>
      <w:spacing w:after="0" w:line="240" w:lineRule="auto"/>
    </w:pPr>
    <w:rPr>
      <w:kern w:val="0"/>
    </w:rPr>
  </w:style>
  <w:style w:type="character" w:styleId="UnresolvedMention">
    <w:name w:val="Unresolved Mention"/>
    <w:basedOn w:val="DefaultParagraphFont"/>
    <w:uiPriority w:val="99"/>
    <w:semiHidden/>
    <w:unhideWhenUsed/>
    <w:rsid w:val="00AF0810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BF1C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F1C1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F1C17"/>
    <w:rPr>
      <w:kern w:val="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F1C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F1C17"/>
    <w:rPr>
      <w:b/>
      <w:bCs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061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2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C084B6-6F3C-4F08-BF6B-1DADBC8A08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515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Keith</dc:creator>
  <cp:keywords/>
  <dc:description/>
  <cp:lastModifiedBy>David Keith</cp:lastModifiedBy>
  <cp:revision>3</cp:revision>
  <dcterms:created xsi:type="dcterms:W3CDTF">2025-09-29T02:27:00Z</dcterms:created>
  <dcterms:modified xsi:type="dcterms:W3CDTF">2025-09-29T02:28:00Z</dcterms:modified>
</cp:coreProperties>
</file>