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4.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header5.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40"/>
        <w:rPr>
          <w:lang w:val="en-US"/>
        </w:rPr>
      </w:pPr>
      <w:r>
        <w:rPr>
          <w:color w:val="000000"/>
          <w:sz w:val="28"/>
          <w:lang w:val="en-US"/>
        </w:rPr>
        <w:tab/>
        <w:t>COURSE CALENDARIZATION - BUSINESS INTELLIGENCE - THIRD TERM 2026</w:t>
      </w:r>
    </w:p>
    <w:p>
      <w:pPr>
        <w:pStyle w:val="Heading1"/>
        <w:spacing w:before="200" w:after="100"/>
        <w:ind w:hanging="0" w:left="0"/>
        <w:jc w:val="left"/>
        <w:rPr>
          <w:color w:val="000000"/>
          <w:sz w:val="23"/>
        </w:rPr>
      </w:pPr>
      <w:r>
        <w:rPr>
          <w:color w:val="000000"/>
          <w:sz w:val="23"/>
        </w:rPr>
        <w:t>1.   GENERAL INFORMATION</w:t>
      </w:r>
    </w:p>
    <w:tbl>
      <w:tblPr>
        <w:tblW w:w="8842" w:type="dxa"/>
        <w:jc w:val="left"/>
        <w:tblInd w:w="-95" w:type="dxa"/>
        <w:tblLayout w:type="fixed"/>
        <w:tblCellMar>
          <w:top w:w="70" w:type="dxa"/>
          <w:left w:w="90" w:type="dxa"/>
          <w:bottom w:w="70" w:type="dxa"/>
          <w:right w:w="90" w:type="dxa"/>
        </w:tblCellMar>
      </w:tblPr>
      <w:tblGrid>
        <w:gridCol w:w="2741"/>
        <w:gridCol w:w="6101"/>
      </w:tblGrid>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Course</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9"/>
                <w:szCs w:val="20"/>
                <w:lang w:bidi="ar-SA"/>
              </w:rPr>
            </w:pPr>
            <w:r>
              <w:rPr>
                <w:rFonts w:eastAsia="Times New Roman" w:cs="Times New Roman"/>
                <w:color w:val="000000"/>
                <w:kern w:val="0"/>
                <w:sz w:val="19"/>
                <w:szCs w:val="20"/>
                <w:lang w:bidi="ar-SA"/>
              </w:rPr>
              <w:t>Business Intelligence</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Academic term</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9"/>
                <w:szCs w:val="20"/>
                <w:lang w:bidi="ar-SA"/>
              </w:rPr>
            </w:pPr>
            <w:r>
              <w:rPr>
                <w:rFonts w:eastAsia="Times New Roman" w:cs="Times New Roman"/>
                <w:color w:val="000000"/>
                <w:kern w:val="0"/>
                <w:sz w:val="19"/>
                <w:szCs w:val="20"/>
                <w:lang w:bidi="ar-SA"/>
              </w:rPr>
              <w:t>2026-2-3 - Third Term 2026</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Section</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before="0" w:after="0"/>
              <w:jc w:val="left"/>
              <w:rPr>
                <w:rFonts w:eastAsia="Times New Roman" w:cs="Times New Roman"/>
                <w:kern w:val="0"/>
                <w:szCs w:val="20"/>
                <w:lang w:bidi="ar-SA"/>
              </w:rPr>
            </w:pPr>
            <w:r>
              <w:rPr>
                <w:rFonts w:eastAsia="Times New Roman" w:cs="Times New Roman"/>
                <w:color w:val="000000"/>
                <w:kern w:val="0"/>
                <w:sz w:val="19"/>
                <w:szCs w:val="20"/>
                <w:lang w:bidi="ar-SA"/>
              </w:rPr>
              <w:t>IIB423T-2</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Official syllabus</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9"/>
                <w:szCs w:val="20"/>
                <w:lang w:val="en-US" w:bidi="ar-SA"/>
              </w:rPr>
              <w:t>IIB415A Business Intelligence (common syllabus)</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Duration</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9"/>
                <w:szCs w:val="20"/>
                <w:lang w:val="en-US" w:bidi="ar-SA"/>
              </w:rPr>
              <w:t>Trimester delivery; official syllabus declares 68 class hours</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Prerequisites</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9"/>
                <w:szCs w:val="20"/>
                <w:lang w:val="en-US" w:bidi="ar-SA"/>
              </w:rPr>
              <w:t>Data Analysis; English level B1</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Co-requisite</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9"/>
                <w:szCs w:val="20"/>
                <w:lang w:val="en-US" w:bidi="ar-SA"/>
              </w:rPr>
              <w:t>None specified in the official syllabus</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Character</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9"/>
                <w:szCs w:val="20"/>
                <w:lang w:bidi="ar-SA"/>
              </w:rPr>
            </w:pPr>
            <w:r>
              <w:rPr>
                <w:rFonts w:eastAsia="Times New Roman" w:cs="Times New Roman"/>
                <w:color w:val="000000"/>
                <w:kern w:val="0"/>
                <w:sz w:val="19"/>
                <w:szCs w:val="20"/>
                <w:lang w:bidi="ar-SA"/>
              </w:rPr>
              <w:t>Mandatory</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Credits</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9"/>
                <w:szCs w:val="20"/>
                <w:lang w:bidi="ar-SA"/>
              </w:rPr>
            </w:pPr>
            <w:r>
              <w:rPr>
                <w:rFonts w:eastAsia="Times New Roman" w:cs="Times New Roman"/>
                <w:color w:val="000000"/>
                <w:kern w:val="0"/>
                <w:sz w:val="19"/>
                <w:szCs w:val="20"/>
                <w:lang w:bidi="ar-SA"/>
              </w:rPr>
              <w:t>8 UDD credits / 5 SCT</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Course language</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9"/>
                <w:szCs w:val="20"/>
                <w:lang w:bidi="ar-SA"/>
              </w:rPr>
            </w:pPr>
            <w:r>
              <w:rPr>
                <w:rFonts w:eastAsia="Times New Roman" w:cs="Times New Roman"/>
                <w:color w:val="000000"/>
                <w:kern w:val="0"/>
                <w:sz w:val="19"/>
                <w:szCs w:val="20"/>
                <w:lang w:bidi="ar-SA"/>
              </w:rPr>
              <w:t>English</w:t>
            </w:r>
          </w:p>
        </w:tc>
      </w:tr>
      <w:tr>
        <w:trPr>
          <w:cantSplit w:val="true"/>
        </w:trPr>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b/>
                <w:color w:val="000000"/>
                <w:kern w:val="0"/>
                <w:sz w:val="19"/>
                <w:szCs w:val="20"/>
                <w:lang w:bidi="ar-SA"/>
              </w:rPr>
            </w:pPr>
            <w:r>
              <w:rPr>
                <w:rFonts w:eastAsia="Times New Roman" w:cs="Times New Roman"/>
                <w:b/>
                <w:color w:val="000000"/>
                <w:kern w:val="0"/>
                <w:sz w:val="19"/>
                <w:szCs w:val="20"/>
                <w:lang w:bidi="ar-SA"/>
              </w:rPr>
              <w:t>Primary tools</w:t>
            </w:r>
          </w:p>
        </w:tc>
        <w:tc>
          <w:tcPr>
            <w:tcW w:w="61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9"/>
                <w:szCs w:val="20"/>
                <w:lang w:val="en-US" w:bidi="ar-SA"/>
              </w:rPr>
              <w:t>Python, Jupyter Notebooks, GitHub and AI agents</w:t>
            </w:r>
          </w:p>
        </w:tc>
      </w:tr>
    </w:tbl>
    <w:p>
      <w:pPr>
        <w:pStyle w:val="Heading1"/>
        <w:spacing w:before="200" w:after="100"/>
        <w:ind w:hanging="0" w:left="0"/>
        <w:jc w:val="left"/>
        <w:rPr>
          <w:color w:val="000000"/>
          <w:sz w:val="23"/>
        </w:rPr>
      </w:pPr>
      <w:r>
        <w:rPr>
          <w:color w:val="000000"/>
          <w:sz w:val="23"/>
        </w:rPr>
        <w:t>2.   CLASS SCHEDULE</w:t>
      </w:r>
    </w:p>
    <w:tbl>
      <w:tblPr>
        <w:tblW w:w="8842" w:type="dxa"/>
        <w:jc w:val="left"/>
        <w:tblInd w:w="-95" w:type="dxa"/>
        <w:tblLayout w:type="fixed"/>
        <w:tblCellMar>
          <w:top w:w="70" w:type="dxa"/>
          <w:left w:w="90" w:type="dxa"/>
          <w:bottom w:w="70" w:type="dxa"/>
          <w:right w:w="90" w:type="dxa"/>
        </w:tblCellMar>
      </w:tblPr>
      <w:tblGrid>
        <w:gridCol w:w="1590"/>
        <w:gridCol w:w="1417"/>
        <w:gridCol w:w="1856"/>
        <w:gridCol w:w="1769"/>
        <w:gridCol w:w="2210"/>
      </w:tblGrid>
      <w:tr>
        <w:trPr>
          <w:tblHeader w:val="true"/>
          <w:cantSplit w:val="true"/>
        </w:trPr>
        <w:tc>
          <w:tcPr>
            <w:tcW w:w="159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Meeting</w:t>
            </w:r>
          </w:p>
        </w:tc>
        <w:tc>
          <w:tcPr>
            <w:tcW w:w="141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Day</w:t>
            </w:r>
          </w:p>
        </w:tc>
        <w:tc>
          <w:tcPr>
            <w:tcW w:w="185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Module</w:t>
            </w:r>
          </w:p>
        </w:tc>
        <w:tc>
          <w:tcPr>
            <w:tcW w:w="176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Time</w:t>
            </w:r>
          </w:p>
        </w:tc>
        <w:tc>
          <w:tcPr>
            <w:tcW w:w="221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Room</w:t>
            </w:r>
          </w:p>
        </w:tc>
      </w:tr>
      <w:tr>
        <w:trPr>
          <w:cantSplit w:val="true"/>
        </w:trPr>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In-person class</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Tuesday</w:t>
            </w:r>
          </w:p>
        </w:tc>
        <w:tc>
          <w:tcPr>
            <w:tcW w:w="18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H8-H9</w:t>
            </w:r>
          </w:p>
        </w:tc>
        <w:tc>
          <w:tcPr>
            <w:tcW w:w="176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kern w:val="0"/>
                <w:szCs w:val="20"/>
                <w:lang w:bidi="ar-SA"/>
              </w:rPr>
            </w:pPr>
            <w:r>
              <w:rPr>
                <w:rFonts w:eastAsia="Times New Roman" w:cs="Times New Roman"/>
                <w:color w:val="000000"/>
                <w:kern w:val="0"/>
                <w:sz w:val="18"/>
                <w:szCs w:val="20"/>
                <w:lang w:bidi="ar-SA"/>
              </w:rPr>
              <w:t>17:50-20:20</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Y035</w:t>
            </w:r>
          </w:p>
        </w:tc>
      </w:tr>
      <w:tr>
        <w:trPr>
          <w:cantSplit w:val="true"/>
        </w:trPr>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In-person class</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Thursday</w:t>
            </w:r>
          </w:p>
        </w:tc>
        <w:tc>
          <w:tcPr>
            <w:tcW w:w="18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kern w:val="0"/>
                <w:szCs w:val="20"/>
                <w:lang w:bidi="ar-SA"/>
              </w:rPr>
            </w:pPr>
            <w:r>
              <w:rPr>
                <w:rFonts w:eastAsia="Times New Roman" w:cs="Times New Roman"/>
                <w:color w:val="000000"/>
                <w:kern w:val="0"/>
                <w:sz w:val="18"/>
                <w:szCs w:val="20"/>
                <w:lang w:bidi="ar-SA"/>
              </w:rPr>
              <w:t>H5</w:t>
            </w:r>
          </w:p>
        </w:tc>
        <w:tc>
          <w:tcPr>
            <w:tcW w:w="1769"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before="0" w:after="0"/>
              <w:jc w:val="center"/>
              <w:rPr>
                <w:rFonts w:eastAsia="Times New Roman" w:cs="Times New Roman"/>
                <w:kern w:val="0"/>
                <w:szCs w:val="20"/>
                <w:lang w:bidi="ar-SA"/>
              </w:rPr>
            </w:pPr>
            <w:r>
              <w:rPr>
                <w:rFonts w:eastAsia="Times New Roman" w:cs="Times New Roman"/>
                <w:color w:val="000000"/>
                <w:kern w:val="0"/>
                <w:sz w:val="18"/>
                <w:szCs w:val="20"/>
                <w:lang w:bidi="ar-SA"/>
              </w:rPr>
              <w:t>13:50-15:00</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026</w:t>
            </w:r>
          </w:p>
        </w:tc>
      </w:tr>
    </w:tbl>
    <w:p>
      <w:pPr>
        <w:pStyle w:val="Normal"/>
        <w:spacing w:lineRule="auto" w:line="252" w:before="0" w:after="40"/>
        <w:rPr>
          <w:lang w:val="en-US"/>
        </w:rPr>
      </w:pPr>
      <w:r>
        <w:rPr>
          <w:i/>
          <w:color w:val="000000"/>
          <w:lang w:val="en-US"/>
        </w:rPr>
        <w:t>Tuesday meets in room Y035 and spans 150 minutes, including the scheduled 19:00-19:10 break (140 active teaching minutes). Thursday meets in room 026 for one 70-minute module. The final examination follows the separate Faculty examination schedule.</w:t>
      </w:r>
    </w:p>
    <w:p>
      <w:pPr>
        <w:pStyle w:val="Heading1"/>
        <w:spacing w:before="200" w:after="100"/>
        <w:ind w:hanging="0" w:left="0"/>
        <w:jc w:val="left"/>
        <w:rPr>
          <w:color w:val="000000"/>
          <w:sz w:val="23"/>
        </w:rPr>
      </w:pPr>
      <w:r>
        <w:rPr>
          <w:color w:val="000000"/>
          <w:sz w:val="23"/>
        </w:rPr>
        <w:t>3.   INSTRUCTOR AND TEACHING SUPPORT</w:t>
      </w:r>
    </w:p>
    <w:tbl>
      <w:tblPr>
        <w:tblW w:w="8842" w:type="dxa"/>
        <w:jc w:val="left"/>
        <w:tblInd w:w="-95" w:type="dxa"/>
        <w:tblLayout w:type="fixed"/>
        <w:tblCellMar>
          <w:top w:w="70" w:type="dxa"/>
          <w:left w:w="90" w:type="dxa"/>
          <w:bottom w:w="70" w:type="dxa"/>
          <w:right w:w="90" w:type="dxa"/>
        </w:tblCellMar>
      </w:tblPr>
      <w:tblGrid>
        <w:gridCol w:w="2208"/>
        <w:gridCol w:w="3097"/>
        <w:gridCol w:w="3537"/>
      </w:tblGrid>
      <w:tr>
        <w:trPr>
          <w:tblHeader w:val="true"/>
          <w:cantSplit w:val="true"/>
        </w:trPr>
        <w:tc>
          <w:tcPr>
            <w:tcW w:w="220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Role</w:t>
            </w:r>
          </w:p>
        </w:tc>
        <w:tc>
          <w:tcPr>
            <w:tcW w:w="30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Name</w:t>
            </w:r>
          </w:p>
        </w:tc>
        <w:tc>
          <w:tcPr>
            <w:tcW w:w="353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Email</w:t>
            </w:r>
          </w:p>
        </w:tc>
      </w:tr>
      <w:tr>
        <w:trPr>
          <w:cantSplit w:val="true"/>
        </w:trPr>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Instructor</w:t>
            </w:r>
          </w:p>
        </w:tc>
        <w:tc>
          <w:tcPr>
            <w:tcW w:w="30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Tomás Fontecilla Correa</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kern w:val="0"/>
                <w:szCs w:val="20"/>
                <w:lang w:bidi="ar-SA"/>
              </w:rPr>
            </w:pPr>
            <w:r>
              <w:rPr>
                <w:rFonts w:eastAsia="Times New Roman" w:cs="Times New Roman"/>
                <w:color w:val="000000"/>
                <w:kern w:val="0"/>
                <w:sz w:val="18"/>
                <w:szCs w:val="20"/>
                <w:lang w:bidi="ar-SA"/>
              </w:rPr>
              <w:t>Tomas.fontecilla@udd.cl</w:t>
            </w:r>
          </w:p>
        </w:tc>
      </w:tr>
    </w:tbl>
    <w:p>
      <w:pPr>
        <w:pStyle w:val="Normal"/>
        <w:rPr/>
      </w:pPr>
      <w:r>
        <w:rPr/>
      </w:r>
      <w:r>
        <w:br w:type="page"/>
      </w:r>
    </w:p>
    <w:p>
      <w:pPr>
        <w:pStyle w:val="Heading1"/>
        <w:spacing w:before="0" w:after="100"/>
        <w:ind w:hanging="0" w:left="0"/>
        <w:jc w:val="left"/>
        <w:rPr>
          <w:color w:val="000000"/>
          <w:sz w:val="23"/>
        </w:rPr>
      </w:pPr>
      <w:r>
        <w:rPr>
          <w:color w:val="000000"/>
          <w:sz w:val="23"/>
        </w:rPr>
        <w:t>4.   ASSESSMENT WEIGHTING</w:t>
      </w:r>
    </w:p>
    <w:tbl>
      <w:tblPr>
        <w:tblW w:w="8842" w:type="dxa"/>
        <w:jc w:val="left"/>
        <w:tblInd w:w="-95" w:type="dxa"/>
        <w:tblLayout w:type="fixed"/>
        <w:tblCellMar>
          <w:top w:w="70" w:type="dxa"/>
          <w:left w:w="90" w:type="dxa"/>
          <w:bottom w:w="70" w:type="dxa"/>
          <w:right w:w="90" w:type="dxa"/>
        </w:tblCellMar>
      </w:tblPr>
      <w:tblGrid>
        <w:gridCol w:w="4421"/>
        <w:gridCol w:w="2208"/>
        <w:gridCol w:w="2213"/>
      </w:tblGrid>
      <w:tr>
        <w:trPr>
          <w:tblHeader w:val="true"/>
          <w:cantSplit w:val="true"/>
        </w:trPr>
        <w:tc>
          <w:tcPr>
            <w:tcW w:w="442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Assessment</w:t>
            </w:r>
          </w:p>
        </w:tc>
        <w:tc>
          <w:tcPr>
            <w:tcW w:w="220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 of Presentation Grade</w:t>
            </w:r>
          </w:p>
        </w:tc>
        <w:tc>
          <w:tcPr>
            <w:tcW w:w="221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 of Final Grade</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Major Assessment 1 (C1)</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30%</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21%</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Major Assessment 2 (C2)</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40%</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28%</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Workshop 1 (individual)</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10%</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7%</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Workshop 2 (individual)</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10%</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7%</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Workshop 3 (individual)</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10%</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7%</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Presentation Grade</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100%</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70%</w:t>
            </w:r>
          </w:p>
        </w:tc>
      </w:tr>
      <w:tr>
        <w:trPr>
          <w:cantSplit w:val="true"/>
        </w:trPr>
        <w:tc>
          <w:tcPr>
            <w:tcW w:w="442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8"/>
                <w:szCs w:val="20"/>
                <w:lang w:bidi="ar-SA"/>
              </w:rPr>
            </w:pPr>
            <w:r>
              <w:rPr>
                <w:rFonts w:eastAsia="Times New Roman" w:cs="Times New Roman"/>
                <w:color w:val="000000"/>
                <w:kern w:val="0"/>
                <w:sz w:val="18"/>
                <w:szCs w:val="20"/>
                <w:lang w:bidi="ar-SA"/>
              </w:rPr>
              <w:t>Final Examination</w:t>
            </w:r>
          </w:p>
        </w:tc>
        <w:tc>
          <w:tcPr>
            <w:tcW w:w="22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w:t>
            </w:r>
          </w:p>
        </w:tc>
        <w:tc>
          <w:tcPr>
            <w:tcW w:w="221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8"/>
                <w:szCs w:val="20"/>
                <w:lang w:bidi="ar-SA"/>
              </w:rPr>
            </w:pPr>
            <w:r>
              <w:rPr>
                <w:rFonts w:eastAsia="Times New Roman" w:cs="Times New Roman"/>
                <w:color w:val="000000"/>
                <w:kern w:val="0"/>
                <w:sz w:val="18"/>
                <w:szCs w:val="20"/>
                <w:lang w:bidi="ar-SA"/>
              </w:rPr>
              <w:t>30%</w:t>
            </w:r>
          </w:p>
        </w:tc>
      </w:tr>
    </w:tbl>
    <w:p>
      <w:pPr>
        <w:pStyle w:val="Normal"/>
        <w:spacing w:lineRule="auto" w:line="252" w:before="0" w:after="40"/>
        <w:rPr/>
      </w:pPr>
      <w:r>
        <w:rPr>
          <w:color w:val="000000"/>
          <w:lang w:val="en-US"/>
        </w:rPr>
        <w:t xml:space="preserve">PG = 0.30 C1 + 0.40 C2 + 0.10 W1 + 0.10 W2 + 0.10 W3. Final Grade = 0.70 PG + 0.30 Final Examination. </w:t>
      </w:r>
      <w:r>
        <w:rPr>
          <w:color w:val="000000"/>
        </w:rPr>
        <w:t>No minimum attendance threshold applies.</w:t>
      </w:r>
    </w:p>
    <w:p>
      <w:pPr>
        <w:pStyle w:val="Heading1"/>
        <w:spacing w:before="200" w:after="100"/>
        <w:ind w:hanging="0" w:left="0"/>
        <w:jc w:val="left"/>
        <w:rPr>
          <w:color w:val="000000"/>
          <w:sz w:val="23"/>
        </w:rPr>
      </w:pPr>
      <w:r>
        <w:rPr>
          <w:color w:val="000000"/>
          <w:sz w:val="23"/>
        </w:rPr>
        <w:t>5.   OFFICIAL COMPETENCIES AND LEARNING OUTCOMES</w:t>
      </w:r>
    </w:p>
    <w:tbl>
      <w:tblPr>
        <w:tblW w:w="8842" w:type="dxa"/>
        <w:jc w:val="left"/>
        <w:tblInd w:w="-95" w:type="dxa"/>
        <w:tblLayout w:type="fixed"/>
        <w:tblCellMar>
          <w:top w:w="70" w:type="dxa"/>
          <w:left w:w="90" w:type="dxa"/>
          <w:bottom w:w="70" w:type="dxa"/>
          <w:right w:w="90" w:type="dxa"/>
        </w:tblCellMar>
      </w:tblPr>
      <w:tblGrid>
        <w:gridCol w:w="3535"/>
        <w:gridCol w:w="5307"/>
      </w:tblGrid>
      <w:tr>
        <w:trPr>
          <w:tblHeader w:val="true"/>
          <w:cantSplit w:val="true"/>
        </w:trPr>
        <w:tc>
          <w:tcPr>
            <w:tcW w:w="353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Competencies</w:t>
            </w:r>
          </w:p>
        </w:tc>
        <w:tc>
          <w:tcPr>
            <w:tcW w:w="530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8"/>
                <w:szCs w:val="20"/>
                <w:lang w:bidi="ar-SA"/>
              </w:rPr>
            </w:pPr>
            <w:r>
              <w:rPr>
                <w:rFonts w:eastAsia="Times New Roman" w:cs="Times New Roman"/>
                <w:b/>
                <w:color w:val="000000"/>
                <w:kern w:val="0"/>
                <w:sz w:val="18"/>
                <w:szCs w:val="20"/>
                <w:lang w:bidi="ar-SA"/>
              </w:rPr>
              <w:t>General Learning Outcomes</w:t>
            </w:r>
          </w:p>
        </w:tc>
      </w:tr>
      <w:tr>
        <w:trPr>
          <w:cantSplit w:val="true"/>
        </w:trPr>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8"/>
                <w:szCs w:val="20"/>
                <w:lang w:bidi="ar-SA"/>
              </w:rPr>
              <w:t>Generic: Global Perspective; Digital Transformation.</w:t>
              <w:br/>
              <w:br/>
            </w:r>
            <w:r>
              <w:rPr>
                <w:rFonts w:eastAsia="Times New Roman" w:cs="Times New Roman"/>
                <w:color w:val="000000"/>
                <w:kern w:val="0"/>
                <w:sz w:val="18"/>
                <w:szCs w:val="20"/>
                <w:lang w:val="en-US" w:bidi="ar-SA"/>
              </w:rPr>
              <w:t>Specific: Systemic Problem Solving; Digital Technology and Computational Thinking; Analytical Thinking and Inquiry.</w:t>
            </w:r>
          </w:p>
        </w:tc>
        <w:tc>
          <w:tcPr>
            <w:tcW w:w="530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8"/>
                <w:szCs w:val="20"/>
                <w:lang w:val="en-US" w:bidi="ar-SA"/>
              </w:rPr>
              <w:t>GO1. Analyze complex business problems and integrate information from different areas to formulate solutions.</w:t>
              <w:br/>
              <w:br/>
              <w:t>GO2. Use digital technologies and computational techniques to process, model and represent data in different organizational contexts.</w:t>
              <w:br/>
              <w:br/>
              <w:t>GO3. Interpret patterns, trends and relationships in data to support informed decisions.</w:t>
            </w:r>
          </w:p>
        </w:tc>
      </w:tr>
    </w:tbl>
    <w:p>
      <w:pPr>
        <w:pStyle w:val="Heading2"/>
        <w:spacing w:before="140" w:after="40"/>
        <w:ind w:hanging="0" w:left="0"/>
        <w:jc w:val="left"/>
        <w:rPr>
          <w:b/>
          <w:color w:val="000000"/>
          <w:u w:val="none"/>
        </w:rPr>
      </w:pPr>
      <w:r>
        <w:rPr>
          <w:b/>
          <w:color w:val="000000"/>
          <w:u w:val="none"/>
        </w:rPr>
        <w:t>Unit Learning Outcomes</w:t>
      </w:r>
    </w:p>
    <w:tbl>
      <w:tblPr>
        <w:tblW w:w="8842" w:type="dxa"/>
        <w:jc w:val="left"/>
        <w:tblInd w:w="-95" w:type="dxa"/>
        <w:tblLayout w:type="fixed"/>
        <w:tblCellMar>
          <w:top w:w="70" w:type="dxa"/>
          <w:left w:w="90" w:type="dxa"/>
          <w:bottom w:w="70" w:type="dxa"/>
          <w:right w:w="90" w:type="dxa"/>
        </w:tblCellMar>
      </w:tblPr>
      <w:tblGrid>
        <w:gridCol w:w="2032"/>
        <w:gridCol w:w="3007"/>
        <w:gridCol w:w="3803"/>
      </w:tblGrid>
      <w:tr>
        <w:trPr>
          <w:tblHeader w:val="true"/>
          <w:cantSplit w:val="true"/>
        </w:trPr>
        <w:tc>
          <w:tcPr>
            <w:tcW w:w="203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7"/>
                <w:szCs w:val="20"/>
                <w:lang w:bidi="ar-SA"/>
              </w:rPr>
            </w:pPr>
            <w:r>
              <w:rPr>
                <w:rFonts w:eastAsia="Times New Roman" w:cs="Times New Roman"/>
                <w:b/>
                <w:color w:val="000000"/>
                <w:kern w:val="0"/>
                <w:sz w:val="17"/>
                <w:szCs w:val="20"/>
                <w:lang w:bidi="ar-SA"/>
              </w:rPr>
              <w:t>Unit</w:t>
            </w:r>
          </w:p>
        </w:tc>
        <w:tc>
          <w:tcPr>
            <w:tcW w:w="300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7"/>
                <w:szCs w:val="20"/>
                <w:lang w:bidi="ar-SA"/>
              </w:rPr>
            </w:pPr>
            <w:r>
              <w:rPr>
                <w:rFonts w:eastAsia="Times New Roman" w:cs="Times New Roman"/>
                <w:b/>
                <w:color w:val="000000"/>
                <w:kern w:val="0"/>
                <w:sz w:val="17"/>
                <w:szCs w:val="20"/>
                <w:lang w:bidi="ar-SA"/>
              </w:rPr>
              <w:t>Required Content</w:t>
            </w:r>
          </w:p>
        </w:tc>
        <w:tc>
          <w:tcPr>
            <w:tcW w:w="380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7"/>
                <w:szCs w:val="20"/>
                <w:lang w:bidi="ar-SA"/>
              </w:rPr>
            </w:pPr>
            <w:r>
              <w:rPr>
                <w:rFonts w:eastAsia="Times New Roman" w:cs="Times New Roman"/>
                <w:b/>
                <w:color w:val="000000"/>
                <w:kern w:val="0"/>
                <w:sz w:val="17"/>
                <w:szCs w:val="20"/>
                <w:lang w:bidi="ar-SA"/>
              </w:rPr>
              <w:t>Official Unit Learning Outcomes</w:t>
            </w:r>
          </w:p>
        </w:tc>
      </w:tr>
      <w:tr>
        <w:trPr>
          <w:cantSplit w:val="true"/>
        </w:trPr>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Unit I</w:t>
              <w:br/>
              <w:t>Fundamentals of BI</w:t>
            </w:r>
          </w:p>
        </w:tc>
        <w:tc>
          <w:tcPr>
            <w:tcW w:w="300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Business Intelligence; data cycle; key stages of data flow; Five Cs of data.</w:t>
            </w:r>
          </w:p>
        </w:tc>
        <w:tc>
          <w:tcPr>
            <w:tcW w:w="380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U1-LO1. Recognize central concepts of the data cycle and their relevance to management.</w:t>
              <w:br/>
              <w:t>U1-LO2. Explain stages of data flow and their integration into organizational processes.</w:t>
            </w:r>
          </w:p>
        </w:tc>
      </w:tr>
      <w:tr>
        <w:trPr>
          <w:cantSplit w:val="true"/>
        </w:trPr>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Unit II</w:t>
              <w:br/>
              <w:t>Data Preparation and Predictive Models</w:t>
            </w:r>
          </w:p>
        </w:tc>
        <w:tc>
          <w:tcPr>
            <w:tcW w:w="300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Exploration and profiling; cleaning; ML for BI; regression; A/B testing; one-hot encoding; confusion matrix; performance metrics; cross-validation; feature engineering.</w:t>
            </w:r>
          </w:p>
        </w:tc>
        <w:tc>
          <w:tcPr>
            <w:tcW w:w="380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U2-LO1. Apply exploration, cleaning and transformation techniques to ensure data quality and relevance.</w:t>
              <w:br/>
              <w:t>U2-LO2. Build and validate simple predictive models using digital analytics tools.</w:t>
            </w:r>
          </w:p>
        </w:tc>
      </w:tr>
      <w:tr>
        <w:trPr>
          <w:cantSplit w:val="true"/>
        </w:trPr>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Unit III</w:t>
              <w:br/>
              <w:t>Advanced Analytics and ML</w:t>
            </w:r>
          </w:p>
        </w:tc>
        <w:tc>
          <w:tcPr>
            <w:tcW w:w="300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Decision trees; ensemble methods including Random Forest; clustering.</w:t>
            </w:r>
          </w:p>
        </w:tc>
        <w:tc>
          <w:tcPr>
            <w:tcW w:w="380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U3-LO1. Implement basic supervised and unsupervised algorithms to identify patterns and classify information in business contexts.</w:t>
              <w:br/>
              <w:t>U3-LO2. Evaluate model performance and applicability to different organizational problems.</w:t>
            </w:r>
          </w:p>
        </w:tc>
      </w:tr>
      <w:tr>
        <w:trPr>
          <w:cantSplit w:val="true"/>
        </w:trPr>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Unit IV</w:t>
              <w:br/>
              <w:t>Ethical Communication for Decision Making</w:t>
            </w:r>
          </w:p>
        </w:tc>
        <w:tc>
          <w:tcPr>
            <w:tcW w:w="300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Stakeholder communication; bias and privacy; case studies.</w:t>
            </w:r>
          </w:p>
        </w:tc>
        <w:tc>
          <w:tcPr>
            <w:tcW w:w="380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7"/>
                <w:szCs w:val="20"/>
                <w:lang w:val="en-US" w:bidi="ar-SA"/>
              </w:rPr>
              <w:t>U4-LO1. Design effective visualizations that communicate relevant findings clearly and accurately.</w:t>
              <w:br/>
              <w:t>U4-LO2. Analyze the ethics of data management and communicate results transparently and responsibly.</w:t>
            </w:r>
          </w:p>
        </w:tc>
      </w:tr>
    </w:tbl>
    <w:p>
      <w:pPr>
        <w:sectPr>
          <w:headerReference w:type="default" r:id="rId2"/>
          <w:type w:val="nextPage"/>
          <w:pgSz w:w="12240" w:h="15840"/>
          <w:pgMar w:left="1699" w:right="1699" w:gutter="0" w:header="504" w:top="1411" w:footer="0" w:bottom="850"/>
          <w:pgNumType w:fmt="decimal"/>
          <w:formProt w:val="false"/>
          <w:textDirection w:val="lrTb"/>
          <w:docGrid w:type="default" w:linePitch="100" w:charSpace="0"/>
        </w:sectPr>
      </w:pPr>
    </w:p>
    <w:p>
      <w:pPr>
        <w:pStyle w:val="Heading1"/>
        <w:spacing w:before="200" w:after="100"/>
        <w:ind w:hanging="0" w:left="0"/>
        <w:jc w:val="left"/>
        <w:rPr>
          <w:lang w:val="en-US"/>
        </w:rPr>
      </w:pPr>
      <w:r>
        <w:rPr>
          <w:color w:val="000000"/>
          <w:sz w:val="23"/>
          <w:lang w:val="en-US"/>
        </w:rPr>
        <w:t>6.   COURSE PLAN</w:t>
      </w:r>
    </w:p>
    <w:p>
      <w:pPr>
        <w:pStyle w:val="Normal"/>
        <w:spacing w:lineRule="auto" w:line="252" w:before="0" w:after="80"/>
        <w:rPr>
          <w:lang w:val="en-US"/>
        </w:rPr>
      </w:pPr>
      <w:r>
        <w:rPr>
          <w:color w:val="000000"/>
          <w:lang w:val="en-US"/>
        </w:rPr>
        <w:t>Each row corresponds to an actual meeting. Tuesday spans 150 minutes, including the 19:00-19:10 break and 140 active teaching minutes. Thursday provides 70 teaching minutes. The final examination follows the Faculty schedule and may fall outside the regular Tuesday/Thursday pattern.</w:t>
      </w:r>
    </w:p>
    <w:tbl>
      <w:tblPr>
        <w:tblW w:w="13435" w:type="dxa"/>
        <w:jc w:val="left"/>
        <w:tblInd w:w="-90" w:type="dxa"/>
        <w:tblLayout w:type="fixed"/>
        <w:tblCellMar>
          <w:top w:w="35" w:type="dxa"/>
          <w:left w:w="85" w:type="dxa"/>
          <w:bottom w:w="35" w:type="dxa"/>
          <w:right w:w="85" w:type="dxa"/>
        </w:tblCellMar>
      </w:tblPr>
      <w:tblGrid>
        <w:gridCol w:w="584"/>
        <w:gridCol w:w="681"/>
        <w:gridCol w:w="680"/>
        <w:gridCol w:w="974"/>
        <w:gridCol w:w="1428"/>
        <w:gridCol w:w="1688"/>
        <w:gridCol w:w="2790"/>
        <w:gridCol w:w="1818"/>
        <w:gridCol w:w="1233"/>
        <w:gridCol w:w="1559"/>
      </w:tblGrid>
      <w:tr>
        <w:trPr>
          <w:tblHeader w:val="true"/>
          <w:cantSplit w:val="true"/>
        </w:trPr>
        <w:tc>
          <w:tcPr>
            <w:tcW w:w="58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Wk.</w:t>
            </w:r>
          </w:p>
        </w:tc>
        <w:tc>
          <w:tcPr>
            <w:tcW w:w="68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From</w:t>
            </w:r>
          </w:p>
        </w:tc>
        <w:tc>
          <w:tcPr>
            <w:tcW w:w="68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To</w:t>
            </w:r>
          </w:p>
        </w:tc>
        <w:tc>
          <w:tcPr>
            <w:tcW w:w="97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Date / relevant event</w:t>
            </w:r>
          </w:p>
        </w:tc>
        <w:tc>
          <w:tcPr>
            <w:tcW w:w="14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Learning outcome(s)</w:t>
            </w:r>
          </w:p>
        </w:tc>
        <w:tc>
          <w:tcPr>
            <w:tcW w:w="168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Unit and content</w:t>
            </w:r>
          </w:p>
        </w:tc>
        <w:tc>
          <w:tcPr>
            <w:tcW w:w="279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Guided in-class activities</w:t>
            </w:r>
          </w:p>
        </w:tc>
        <w:tc>
          <w:tcPr>
            <w:tcW w:w="181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Autonomous work</w:t>
            </w:r>
          </w:p>
        </w:tc>
        <w:tc>
          <w:tcPr>
            <w:tcW w:w="123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Learning resources</w:t>
            </w:r>
          </w:p>
        </w:tc>
        <w:tc>
          <w:tcPr>
            <w:tcW w:w="155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spacing w:before="0" w:after="0"/>
              <w:jc w:val="center"/>
              <w:rPr>
                <w:rFonts w:eastAsia="Times New Roman" w:cs="Times New Roman"/>
                <w:b/>
                <w:color w:val="000000"/>
                <w:kern w:val="0"/>
                <w:sz w:val="14"/>
                <w:szCs w:val="20"/>
                <w:lang w:bidi="ar-SA"/>
              </w:rPr>
            </w:pPr>
            <w:r>
              <w:rPr>
                <w:rFonts w:eastAsia="Times New Roman" w:cs="Times New Roman"/>
                <w:b/>
                <w:color w:val="000000"/>
                <w:kern w:val="0"/>
                <w:sz w:val="14"/>
                <w:szCs w:val="20"/>
                <w:lang w:bidi="ar-SA"/>
              </w:rPr>
              <w:t>Assessment and feedback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01 Sep</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U1-LO1/2</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Unit I: course orientation; syllabus, calendarization, rules and BI as a decision system; data cycle, data flow and Five Cs.</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10 min welcome; 15 min introductions; 20 min syllabus/calendarization/rules; 20 min BI decision mini-case; 25 min data-cycle/data-flow model; 10 min break; 25 min Five Cs application; 25 min synthesis and checkpoint.</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Create and verify a personal GitHub account before Thursday; review the syllabus and calendarization.</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Syllabus; calendarization; course overview; Mercado Norte mini-case; data-cycle and Five Cs materials.</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Diagnostic conversation and concept checks only; no graded evidence.</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03 Sep</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U1-LO1/2</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From strategy to measurable KPI; unit of observation, population, period and action rule; public-data sourcing, ingestion and structural profiling in Python.</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25 min KPI validity; 25 min critique of weak KPIs; 20 min unit of observation/population/period/action rule; 10 min break; 20 min source and schema checks; 30 min guided pandas profiling; 10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Complete repository setup and the first documented AI interaction; do not use sensitive or internal data.</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Git; GitHub; starter repository; PROCESS_LOG.md; UDD AI regulation; student workbook.</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kern w:val="0"/>
                <w:szCs w:val="20"/>
                <w:lang w:val="en-US" w:bidi="ar-SA"/>
              </w:rPr>
              <w:t>Formative repository check and first SHA practice; no grade.</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08 Sep</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Git, GitHub, versioning and responsible AI documentation.</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20 min Git/GitHub concepts; 25 min guided repository lab; 10 min AI process record; 5 min checkpoint.</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Draft a decision statement, KPI and case brief for Thursday.</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KPI worksheet; Sherman selected excerpt; public dataset; Python notebook; case-admission criteria.</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Formative KPI and structural-profiling critique.</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10 Sep</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Data quality; diagnostic EDA; cleaning pipeline; validation after treatment and reproducible reporting.</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20 min decision risks from poor data; 25 min missingness/duplicates/categories/business rules; 25 min treatment and imputation decisions; 10 min break; 30 min guided cleaning pipeline; 20 min validation and post-cleaning EDA; 10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Update the case brief and justify planned data-quality decisions before Thursday.</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Data-quality checklist; Python notebook; public data dictionary; C1 rubric.</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val="en-US" w:bidi="ar-SA"/>
              </w:rPr>
              <w:t>Formative data-quality and EDA checks.</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3</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15 Sep / Thu 17 Sep</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Academic recess.</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No classes under the official university recess (12-17 September).</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Optional review only; no required assessment.</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Previously published materials remain available.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No assessment.</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4</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22 Sep</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Workshop 1: decision, KPI, data-flow and public-data audit.</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45 min W1 individual work; 10 min feedback and rubric self-check; 5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Submit W1 by 23:59 and revise the case brief if required.</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W1 instructions; public dataset; GitHub; PROCESS_LOG.md; rubric.</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val="en-US" w:bidi="ar-SA"/>
              </w:rPr>
              <w:t>W1 individual: decision, KPI and data-flow audit. Due 23:59.</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4</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24 Sep</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C1 integration studio: evidence, reproducibility and defense preparation.</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40 min C1 studio and evidence-to-claim audit; 15 min peer/self review; 5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Complete C1 repository, PROCESS_LOG.md and defense preparation for Tuesday.</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Python notebook; GitHub; C1 rubric; PROCESS_LOG.md; presentation materials.</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C1 formative studio. Feedback must be used before submission.</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5</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29 Sep</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U1-LO1/2; U2-LO1</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C1: business framing, KPI, public data, quality, preparation and diagnostic EDA.</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setup; up to four project defenses x 25 min including questions and transitions; 10 min break; 20 min peer/self synthesis; 10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Canvas submission before 17:50: repository URL, full SHA, members and direct tree link.</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Submitted GitHub tree at the declared SHA; presentation materials; self-assessment prompt.</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C1: 60% team deliverable and 40% individual defense. No live AI.</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5</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01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C1 feedback and transition to C2: prediction versus explanation, baseline and regression recap.</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debrief; 20 min feedback triage; 25 min prediction-versus-explanation and baseline logic; 10 min regression recap; 5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Record C1 feedback as incorporated, adapted or rejected with justification for C2.</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C1 feedback; Python regression notebook; ISL selected excerpt.</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kern w:val="0"/>
                <w:szCs w:val="20"/>
                <w:lang w:bidi="ar-SA"/>
              </w:rPr>
            </w:pPr>
            <w:r>
              <w:rPr>
                <w:rFonts w:eastAsia="Times New Roman" w:cs="Times New Roman"/>
                <w:color w:val="000000"/>
                <w:kern w:val="0"/>
                <w:sz w:val="13"/>
                <w:szCs w:val="20"/>
                <w:lang w:val="en-US" w:bidi="ar-SA"/>
              </w:rPr>
              <w:t>C1 feedback loop begins; formative regression check.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6</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06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Baseline and linear regression; regression diagnostics; classification probabilities and thresholds.</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20 min regression logic and parameters; 30 min baseline, residuals and error measures; 10 min break; 35 min guided regression lab; 25 min classification probabilities and thresholds; 20 min decision-cost synthesis and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Compare a baseline and regression model; identify which classification error matters more for the project decision.</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Python regression and classification notebooks; metric decision table; ISL selected excerpt.</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Formative regression diagnostic and classification-threshold checks.</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6</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08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Classification threshold and decision-cost lab.</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35 min guided threshold/error-cost lab; 20 min decision-cost interpretation; 5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Document the selected error trade-off and how it affects the project decision.</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Python classification notebook; metric decision table.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Formative threshold justification. Week i: ICLAE classes continue unless Faculty announces otherwise.</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7</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13 Oct</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U2-LO1/2</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Validation; train/validation/test; cross-validation; leakage; one-hot encoding, feature engineering and reproducible pipelines.</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25 min validation designs; 20 min leakage diagnosis; 15 min representative evaluation; 10 min break; 25 min one-hot/feature-engineering criteria; 30 min guided pipeline; 15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Draft the project validation protocol and prepare for W2.</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Validation diagrams; Python/sklearn notebook; GitHub; ISL selected excerpt.</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Formative validation-plan and pipeline review.</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7</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15 Oct</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U2-LO1/2</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Workshop 2: reproducible validation and error-cost analysis.</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45 min W2 individual work; 10 min rubric self-check; 5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Submit W2 by 23:59 and apply feedback to C2.</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W2 instructions; Python/sklearn notebook; GitHub; PROCESS_LOG.md; rubric.</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rFonts w:eastAsia="Times New Roman" w:cs="Times New Roman"/>
                <w:kern w:val="0"/>
                <w:szCs w:val="20"/>
                <w:lang w:bidi="ar-SA"/>
              </w:rPr>
            </w:pPr>
            <w:r>
              <w:rPr>
                <w:rFonts w:eastAsia="Times New Roman" w:cs="Times New Roman"/>
                <w:color w:val="000000"/>
                <w:kern w:val="0"/>
                <w:sz w:val="13"/>
                <w:szCs w:val="20"/>
                <w:lang w:val="en-US" w:bidi="ar-SA"/>
              </w:rPr>
              <w:t>W2 individual: reproducible validation and error-cost analysis. Due 23:59.</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8</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20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U2-LO2; U3-LO1/2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A/B testing and decision trees: experiment structure, uncertainty, recursive partitioning, impurity, depth and interpretability.</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25 min A/B structure and randomization; 20 min estimands, uncertainty and practical significance; 15 min case critique; 10 min break; 25 min tree logic/impurity/depth; 35 min guided Python tree lab; 10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State whether an experiment is applicable to the project and compare an interpretable tree with the current baseline.</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A/B case worksheet; Python simulation; Python tree notebook; model-comparison worksheet.</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Formative experiment-design and tree-logic feedback.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8</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22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U3-LO1/2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Decision-tree diagnostics, overfitting and project applicability.</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25 min tree diagnostics and overfitting; 25 min project comparison/application; 10 min feedback and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Update the model comparison and limitations.</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Python tree notebook; model-comparison worksheet.</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Formative model-comparison feedback.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9</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27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U3-LO1/2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Bagging and Random Forest; clustering, scaling, choice of K and business usefulness.</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25 min bagging/Random Forest mechanism; 20 min variance reduction and random feature selection; 15 min performance-versus-interpretability decision; 10 min break; 25 min clustering/scaling/K criteria; 35 min guided clustering lab; 10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Update the C2 model comparison and prepare the integration evidence for Thursday.</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Python Random Forest notebook; Python clustering notebook; ISL selected excerpt.</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Formative model-applicability and clustering checks.</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9</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29 Oct</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U3-LO1/2; U4-LO1/2</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integration studio; ethics, visualization and stakeholder communication review.</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35 min C2 integration studio; 15 min ethics/communication and visualization check; 5 min rubric self-check; 5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Complete C2 repository, feedback response and defense preparation for Tuesday.</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rubric; GitHub; visualization checklist; presentation materials.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formative studio and rubric feedback.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10</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03 Nov</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U2-LO1/2; U3-LO1/2; U4-LO1/2</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improved and expanded end-to-end BI project incorporating C1 feedback.</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setup; up to four project defenses x 25 min including questions and transitions; 10 min break; 20 min peer/self synthesis; 10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Canvas submission before 17:50: repository URL, full SHA, members and direct tree link.</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Submitted GitHub tree at the declared SHA; presentation materials; self-assessment prompt.</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60% team deliverable and 40% individual defense. No live AI.</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10</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05 Nov</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U4-LO1/2</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feedback; stakeholder communication, analytical limitations and ethical-risk review.</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debrief; 20 min feedback triage; 25 min visualization/claim and stakeholder-communication critique; 10 min ethical-risk review; 5 min close.</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Revise one project conclusion for clarity and audit it for bias, privacy and overstatement.</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C2 feedback; UDD AI regulation; ethics and visualization checklists.</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rFonts w:eastAsia="Times New Roman" w:cs="Times New Roman"/>
                <w:kern w:val="0"/>
                <w:szCs w:val="20"/>
                <w:lang w:bidi="ar-SA"/>
              </w:rPr>
            </w:pPr>
            <w:r>
              <w:rPr>
                <w:rFonts w:eastAsia="Times New Roman" w:cs="Times New Roman"/>
                <w:color w:val="000000"/>
                <w:kern w:val="0"/>
                <w:sz w:val="13"/>
                <w:szCs w:val="20"/>
                <w:lang w:val="en-US" w:bidi="ar-SA"/>
              </w:rPr>
              <w:t>C2 feedback delivered and connected to final-exam preparation.</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11</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10 Nov</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U1-U4</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Integrated BI decision: problem, data, model, validation, communication, ethics and tool verification.</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20 min ethics/privacy/bias review; 25 min integration map; 35 min worked case part 1; 10 min break; 35 min worked case part 2; 15 min synthesis.</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Prepare the integrated case reasoning and review feedback before Thursday.</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Integrated case; Python; GitHub; PROCESS_LOG.md; ethics and visualization checklists.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Formative integrated-case feedback.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11</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12 Nov</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U1-U4</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Workshop 3: recommendation, ethical review and transfer reflection.</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45 min W3 individual work; 10 min peer/self review; 5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Submit W3 by 23:59 and use feedback in cumulative review.</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W3 instructions; integrated case; Python; GitHub; PROCESS_LOG.md; rubric.</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rFonts w:eastAsia="Times New Roman" w:cs="Times New Roman"/>
                <w:kern w:val="0"/>
                <w:szCs w:val="20"/>
                <w:lang w:bidi="ar-SA"/>
              </w:rPr>
            </w:pPr>
            <w:r>
              <w:rPr>
                <w:rFonts w:eastAsia="Times New Roman" w:cs="Times New Roman"/>
                <w:color w:val="000000"/>
                <w:kern w:val="0"/>
                <w:sz w:val="13"/>
                <w:szCs w:val="20"/>
                <w:lang w:val="en-US" w:bidi="ar-SA"/>
              </w:rPr>
              <w:t>W3 individual: recommendation, ethical review and transfer reflection. Due 23:59.</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12</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Tue 17 Nov</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U1-U4</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Cumulative transfer and end-to-end case synthesis: choosing methods, explaining trade-offs and integrating evidence.</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retrieval; 20 min method-selection map; 30 min closed individual practice; 10 min debrief; 10 min break; 25 min end-to-end case framing; 25 min evidence critique; 20 min integrated solution.</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Review feedback and identify two remaining conceptual gaps before Thursday.</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Cumulative practice set; integrated case; personal feedback summary.</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Formative closed practice and integrated-solution feedback.</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12</w:t>
            </w:r>
          </w:p>
        </w:tc>
        <w:tc>
          <w:tcPr>
            <w:tcW w:w="6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13:50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15:00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Thu 19 Nov</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U1-U4</w:t>
            </w:r>
          </w:p>
        </w:tc>
        <w:tc>
          <w:tcPr>
            <w:tcW w:w="168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Course closure, limits, professional handoff and final-exam preparation.</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10 min opening; 20 min limits and professional handoff; 20 min feedback on the integrated solution; 15 min exam scope and conceptual gaps; 5 min close.</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Prepare for the cumulative written examination.</w:t>
            </w:r>
          </w:p>
        </w:tc>
        <w:tc>
          <w:tcPr>
            <w:tcW w:w="123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Exam scope guide; course repository; personal feedback summary.</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Global formative feedback and course closure.</w:t>
            </w:r>
          </w:p>
        </w:tc>
      </w:tr>
      <w:tr>
        <w:trPr>
          <w:cantSplit w:val="true"/>
        </w:trPr>
        <w:tc>
          <w:tcPr>
            <w:tcW w:w="58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13</w:t>
            </w:r>
          </w:p>
        </w:tc>
        <w:tc>
          <w:tcPr>
            <w:tcW w:w="68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17:50</w:t>
            </w:r>
          </w:p>
        </w:tc>
        <w:tc>
          <w:tcPr>
            <w:tcW w:w="68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20:20</w:t>
            </w:r>
          </w:p>
        </w:tc>
        <w:tc>
          <w:tcPr>
            <w:tcW w:w="97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Wed 25 Nov</w:t>
            </w:r>
          </w:p>
        </w:tc>
        <w:tc>
          <w:tcPr>
            <w:tcW w:w="142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center"/>
              <w:rPr>
                <w:rFonts w:eastAsia="Times New Roman" w:cs="Times New Roman"/>
                <w:color w:val="000000"/>
                <w:kern w:val="0"/>
                <w:sz w:val="13"/>
                <w:szCs w:val="20"/>
                <w:lang w:bidi="ar-SA"/>
              </w:rPr>
            </w:pPr>
            <w:r>
              <w:rPr>
                <w:rFonts w:eastAsia="Times New Roman" w:cs="Times New Roman"/>
                <w:color w:val="000000"/>
                <w:kern w:val="0"/>
                <w:sz w:val="13"/>
                <w:szCs w:val="20"/>
                <w:lang w:bidi="ar-SA"/>
              </w:rPr>
              <w:t>U1-U4</w:t>
            </w:r>
          </w:p>
        </w:tc>
        <w:tc>
          <w:tcPr>
            <w:tcW w:w="168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Individual cumulative written final examination (Faculty-scheduled exception to the regular Tuesday/Thursday pattern).</w:t>
            </w:r>
          </w:p>
        </w:tc>
        <w:tc>
          <w:tcPr>
            <w:tcW w:w="279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70 min examination; 10 min scheduled break; 70 min examination.</w:t>
            </w:r>
          </w:p>
        </w:tc>
        <w:tc>
          <w:tcPr>
            <w:tcW w:w="181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Independent preparation using course materials before the examination.</w:t>
            </w:r>
          </w:p>
        </w:tc>
        <w:tc>
          <w:tcPr>
            <w:tcW w:w="1233"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rFonts w:eastAsia="Times New Roman" w:cs="Times New Roman"/>
                <w:color w:val="000000"/>
                <w:kern w:val="0"/>
                <w:sz w:val="13"/>
                <w:szCs w:val="20"/>
                <w:lang w:bidi="ar-SA"/>
              </w:rPr>
            </w:pPr>
            <w:r>
              <w:rPr>
                <w:rFonts w:eastAsia="Times New Roman" w:cs="Times New Roman"/>
                <w:color w:val="000000"/>
                <w:kern w:val="0"/>
                <w:sz w:val="13"/>
                <w:szCs w:val="20"/>
                <w:lang w:bidi="ar-SA"/>
              </w:rPr>
              <w:t>Faculty examination materials.</w:t>
            </w:r>
          </w:p>
        </w:tc>
        <w:tc>
          <w:tcPr>
            <w:tcW w:w="155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widowControl/>
              <w:spacing w:before="0" w:after="0"/>
              <w:jc w:val="left"/>
              <w:rPr>
                <w:lang w:val="en-US"/>
              </w:rPr>
            </w:pPr>
            <w:r>
              <w:rPr>
                <w:rFonts w:eastAsia="Times New Roman" w:cs="Times New Roman"/>
                <w:color w:val="000000"/>
                <w:kern w:val="0"/>
                <w:sz w:val="13"/>
                <w:szCs w:val="20"/>
                <w:lang w:val="en-US" w:bidi="ar-SA"/>
              </w:rPr>
              <w:t>Final examination: 30% of final grade; closed, no notes, devices or AI; minimum grade 3.0.</w:t>
            </w:r>
          </w:p>
        </w:tc>
      </w:tr>
    </w:tbl>
    <w:p>
      <w:pPr>
        <w:sectPr>
          <w:headerReference w:type="default" r:id="rId3"/>
          <w:headerReference w:type="first" r:id="rId4"/>
          <w:type w:val="nextPage"/>
          <w:pgSz w:orient="landscape" w:w="15840" w:h="12240"/>
          <w:pgMar w:left="1411" w:right="994" w:gutter="0" w:header="504" w:top="1699" w:footer="0" w:bottom="792"/>
          <w:pgNumType w:fmt="decimal"/>
          <w:formProt w:val="false"/>
          <w:textDirection w:val="lrTb"/>
          <w:docGrid w:type="default" w:linePitch="100" w:charSpace="0"/>
        </w:sectPr>
      </w:pPr>
    </w:p>
    <w:p>
      <w:pPr>
        <w:pStyle w:val="Heading1"/>
        <w:spacing w:before="200" w:after="100"/>
        <w:ind w:hanging="0" w:left="0"/>
        <w:jc w:val="left"/>
        <w:rPr>
          <w:lang w:val="en-US"/>
        </w:rPr>
      </w:pPr>
      <w:r>
        <w:rPr>
          <w:color w:val="000000"/>
          <w:sz w:val="23"/>
          <w:lang w:val="en-US"/>
        </w:rPr>
        <w:t>7.   TEACHING METHODOLOGY</w:t>
      </w:r>
    </w:p>
    <w:p>
      <w:pPr>
        <w:pStyle w:val="Normal"/>
        <w:spacing w:lineRule="auto" w:line="252" w:before="0" w:after="80"/>
        <w:rPr>
          <w:lang w:val="en-US"/>
        </w:rPr>
      </w:pPr>
      <w:r>
        <w:rPr>
          <w:color w:val="000000"/>
          <w:lang w:val="en-US"/>
        </w:rPr>
        <w:t>The course uses authentic project-based learning, guided inquiry, worked examples, Python laboratories and structured feedback. Each meeting begins by activating prior knowledge and clarifying the decision to be supported, develops concepts through application, and closes with reflection or a transfer question.</w:t>
      </w:r>
    </w:p>
    <w:p>
      <w:pPr>
        <w:pStyle w:val="ListParagraph"/>
        <w:numPr>
          <w:ilvl w:val="0"/>
          <w:numId w:val="3"/>
        </w:numPr>
        <w:spacing w:before="0" w:after="40"/>
        <w:contextualSpacing/>
        <w:rPr>
          <w:lang w:val="en-US"/>
        </w:rPr>
      </w:pPr>
      <w:r>
        <w:rPr>
          <w:rFonts w:ascii="Arial" w:hAnsi="Arial"/>
          <w:color w:val="000000"/>
          <w:sz w:val="20"/>
          <w:lang w:val="en-US"/>
        </w:rPr>
        <w:t>The integrated project begins with an admitted public-data case and develops from business framing and data quality in C1 to modeling, validation, communication and ethics in C2.</w:t>
      </w:r>
    </w:p>
    <w:p>
      <w:pPr>
        <w:pStyle w:val="ListParagraph"/>
        <w:numPr>
          <w:ilvl w:val="0"/>
          <w:numId w:val="3"/>
        </w:numPr>
        <w:spacing w:before="0" w:after="40"/>
        <w:contextualSpacing/>
        <w:rPr>
          <w:lang w:val="en-US"/>
        </w:rPr>
      </w:pPr>
      <w:r>
        <w:rPr>
          <w:rFonts w:ascii="Arial" w:hAnsi="Arial"/>
          <w:color w:val="000000"/>
          <w:sz w:val="20"/>
          <w:lang w:val="en-US"/>
        </w:rPr>
        <w:t>Each analytical technique is introduced through the business decision and its conceptual or statistical rationale before or alongside implementation. Code follows the reasoning and is not treated as evidence of understanding by itself.</w:t>
      </w:r>
    </w:p>
    <w:p>
      <w:pPr>
        <w:pStyle w:val="ListParagraph"/>
        <w:numPr>
          <w:ilvl w:val="0"/>
          <w:numId w:val="3"/>
        </w:numPr>
        <w:spacing w:before="0" w:after="40"/>
        <w:contextualSpacing/>
        <w:rPr>
          <w:lang w:val="en-US"/>
        </w:rPr>
      </w:pPr>
      <w:r>
        <w:rPr>
          <w:rFonts w:ascii="Arial" w:hAnsi="Arial"/>
          <w:color w:val="000000"/>
          <w:sz w:val="20"/>
          <w:lang w:val="en-US"/>
        </w:rPr>
        <w:t>Data preparation and EDA are iterative: load and profile -&gt; diagnose -&gt; clean, impute or transform -&gt; validate -&gt; perform post-cleaning EDA -&gt; revisit treatments when new problems appear.</w:t>
      </w:r>
    </w:p>
    <w:p>
      <w:pPr>
        <w:pStyle w:val="ListParagraph"/>
        <w:numPr>
          <w:ilvl w:val="0"/>
          <w:numId w:val="3"/>
        </w:numPr>
        <w:spacing w:before="0" w:after="40"/>
        <w:contextualSpacing/>
        <w:rPr>
          <w:lang w:val="en-US"/>
        </w:rPr>
      </w:pPr>
      <w:r>
        <w:rPr>
          <w:rFonts w:ascii="Arial" w:hAnsi="Arial"/>
          <w:color w:val="000000"/>
          <w:sz w:val="20"/>
          <w:lang w:val="en-US"/>
        </w:rPr>
        <w:t>Python in Jupyter Notebooks is the analytical environment. GitHub and Markdown provide version control, reproducibility and professional project documentation.</w:t>
      </w:r>
    </w:p>
    <w:p>
      <w:pPr>
        <w:pStyle w:val="ListParagraph"/>
        <w:numPr>
          <w:ilvl w:val="0"/>
          <w:numId w:val="3"/>
        </w:numPr>
        <w:spacing w:before="0" w:after="40"/>
        <w:contextualSpacing/>
        <w:rPr>
          <w:lang w:val="en-US"/>
        </w:rPr>
      </w:pPr>
      <w:r>
        <w:rPr>
          <w:rFonts w:ascii="Arial" w:hAnsi="Arial"/>
          <w:color w:val="000000"/>
          <w:sz w:val="20"/>
          <w:lang w:val="en-US"/>
        </w:rPr>
        <w:t>AI agents, with Codex as the reference tool, may support preparation. Students remain responsible for every claim, source, decision, line of code and deliverable.</w:t>
      </w:r>
    </w:p>
    <w:p>
      <w:pPr>
        <w:pStyle w:val="ListParagraph"/>
        <w:numPr>
          <w:ilvl w:val="0"/>
          <w:numId w:val="3"/>
        </w:numPr>
        <w:spacing w:before="0" w:after="40"/>
        <w:contextualSpacing/>
        <w:rPr>
          <w:lang w:val="en-US"/>
        </w:rPr>
      </w:pPr>
      <w:r>
        <w:rPr>
          <w:rFonts w:ascii="Arial" w:hAnsi="Arial"/>
          <w:color w:val="000000"/>
          <w:sz w:val="20"/>
          <w:lang w:val="en-US"/>
        </w:rPr>
        <w:t>PROCESS_LOG.md records prompts and relevant responses, accepted and rejected suggestions, verification steps, sources, contribution records and feedback response.</w:t>
      </w:r>
    </w:p>
    <w:p>
      <w:pPr>
        <w:pStyle w:val="ListParagraph"/>
        <w:numPr>
          <w:ilvl w:val="0"/>
          <w:numId w:val="3"/>
        </w:numPr>
        <w:spacing w:before="0" w:after="40"/>
        <w:contextualSpacing/>
        <w:rPr>
          <w:lang w:val="en-US"/>
        </w:rPr>
      </w:pPr>
      <w:r>
        <w:rPr>
          <w:rFonts w:ascii="Arial" w:hAnsi="Arial"/>
          <w:color w:val="000000"/>
          <w:sz w:val="20"/>
          <w:lang w:val="en-US"/>
        </w:rPr>
        <w:t>Equivalent evidence formats and reasonable institutional adjustments may be used when they preserve the learning outcome being assessed.</w:t>
      </w:r>
    </w:p>
    <w:p>
      <w:pPr>
        <w:pStyle w:val="Heading1"/>
        <w:spacing w:before="200" w:after="100"/>
        <w:ind w:hanging="0" w:left="0"/>
        <w:jc w:val="left"/>
        <w:rPr>
          <w:color w:val="000000"/>
          <w:sz w:val="23"/>
        </w:rPr>
      </w:pPr>
      <w:r>
        <w:rPr>
          <w:color w:val="000000"/>
          <w:sz w:val="23"/>
        </w:rPr>
        <w:t>8.   ASSESSMENT AND GENERAL RULES</w:t>
      </w:r>
    </w:p>
    <w:p>
      <w:pPr>
        <w:pStyle w:val="Heading2"/>
        <w:spacing w:before="140" w:after="40"/>
        <w:ind w:hanging="0" w:left="0"/>
        <w:jc w:val="left"/>
        <w:rPr>
          <w:b/>
          <w:color w:val="000000"/>
          <w:u w:val="none"/>
        </w:rPr>
      </w:pPr>
      <w:r>
        <w:rPr>
          <w:b/>
          <w:color w:val="000000"/>
          <w:u w:val="none"/>
        </w:rPr>
        <w:t>Workshops</w:t>
      </w:r>
    </w:p>
    <w:p>
      <w:pPr>
        <w:pStyle w:val="ListParagraph"/>
        <w:numPr>
          <w:ilvl w:val="0"/>
          <w:numId w:val="3"/>
        </w:numPr>
        <w:spacing w:before="0" w:after="40"/>
        <w:contextualSpacing/>
        <w:rPr>
          <w:lang w:val="en-US"/>
        </w:rPr>
      </w:pPr>
      <w:r>
        <w:rPr>
          <w:rFonts w:ascii="Arial" w:hAnsi="Arial"/>
          <w:color w:val="000000"/>
          <w:sz w:val="20"/>
          <w:lang w:val="en-US"/>
        </w:rPr>
        <w:t>W1, W2 and W3 are individual and are released during class. Each is due in Canvas at 23:59 on the same day.</w:t>
      </w:r>
    </w:p>
    <w:p>
      <w:pPr>
        <w:pStyle w:val="ListParagraph"/>
        <w:numPr>
          <w:ilvl w:val="0"/>
          <w:numId w:val="3"/>
        </w:numPr>
        <w:spacing w:before="0" w:after="40"/>
        <w:contextualSpacing/>
        <w:rPr/>
      </w:pPr>
      <w:r>
        <w:rPr>
          <w:rFonts w:ascii="Arial" w:hAnsi="Arial"/>
          <w:color w:val="000000"/>
          <w:sz w:val="20"/>
          <w:lang w:val="en-US"/>
        </w:rPr>
        <w:t xml:space="preserve">A submission received within 24 hours after the deadline receives a deduction equal to 10% of the available points. </w:t>
      </w:r>
      <w:r>
        <w:rPr>
          <w:rFonts w:ascii="Arial" w:hAnsi="Arial"/>
          <w:color w:val="000000"/>
          <w:sz w:val="20"/>
        </w:rPr>
        <w:t>After 24 hours, the workshop closes.</w:t>
      </w:r>
    </w:p>
    <w:p>
      <w:pPr>
        <w:pStyle w:val="ListParagraph"/>
        <w:numPr>
          <w:ilvl w:val="0"/>
          <w:numId w:val="3"/>
        </w:numPr>
        <w:spacing w:before="0" w:after="40"/>
        <w:contextualSpacing/>
        <w:rPr>
          <w:lang w:val="en-US"/>
        </w:rPr>
      </w:pPr>
      <w:r>
        <w:rPr>
          <w:rFonts w:ascii="Arial" w:hAnsi="Arial"/>
          <w:color w:val="000000"/>
          <w:sz w:val="20"/>
          <w:lang w:val="en-US"/>
        </w:rPr>
        <w:t>Absence does not create a separate make-up workshop. The published deadline remains in force unless a formal institutional accommodation applies.</w:t>
      </w:r>
    </w:p>
    <w:p>
      <w:pPr>
        <w:pStyle w:val="Heading2"/>
        <w:spacing w:before="140" w:after="40"/>
        <w:ind w:hanging="0" w:left="0"/>
        <w:jc w:val="left"/>
        <w:rPr>
          <w:b/>
          <w:color w:val="000000"/>
          <w:u w:val="none"/>
        </w:rPr>
      </w:pPr>
      <w:r>
        <w:rPr>
          <w:b/>
          <w:color w:val="000000"/>
          <w:u w:val="none"/>
        </w:rPr>
        <w:t>Major Assessments C1 and C2</w:t>
      </w:r>
    </w:p>
    <w:p>
      <w:pPr>
        <w:pStyle w:val="ListParagraph"/>
        <w:numPr>
          <w:ilvl w:val="0"/>
          <w:numId w:val="3"/>
        </w:numPr>
        <w:spacing w:before="0" w:after="40"/>
        <w:contextualSpacing/>
        <w:rPr>
          <w:lang w:val="en-US"/>
        </w:rPr>
      </w:pPr>
      <w:r>
        <w:rPr>
          <w:rFonts w:ascii="Arial" w:hAnsi="Arial"/>
          <w:color w:val="000000"/>
          <w:sz w:val="20"/>
          <w:lang w:val="en-US"/>
        </w:rPr>
        <w:t>Pairs are the expected format; individual work is permitted. C2 must improve and expand C1 and document how C1 feedback was incorporated, adapted or rejected.</w:t>
      </w:r>
    </w:p>
    <w:p>
      <w:pPr>
        <w:pStyle w:val="ListParagraph"/>
        <w:numPr>
          <w:ilvl w:val="0"/>
          <w:numId w:val="3"/>
        </w:numPr>
        <w:spacing w:before="0" w:after="40"/>
        <w:contextualSpacing/>
        <w:rPr>
          <w:lang w:val="en-US"/>
        </w:rPr>
      </w:pPr>
      <w:r>
        <w:rPr>
          <w:rFonts w:ascii="Arial" w:hAnsi="Arial"/>
          <w:color w:val="000000"/>
          <w:sz w:val="20"/>
          <w:lang w:val="en-US"/>
        </w:rPr>
        <w:t>Each major assessment is 60% team deliverable and 40% individual oral defense. The defense verifies each student's understanding; live AI assistance is prohibited.</w:t>
      </w:r>
    </w:p>
    <w:p>
      <w:pPr>
        <w:pStyle w:val="ListParagraph"/>
        <w:numPr>
          <w:ilvl w:val="0"/>
          <w:numId w:val="3"/>
        </w:numPr>
        <w:spacing w:before="0" w:after="40"/>
        <w:contextualSpacing/>
        <w:rPr>
          <w:lang w:val="en-US"/>
        </w:rPr>
      </w:pPr>
      <w:r>
        <w:rPr>
          <w:rFonts w:ascii="Arial" w:hAnsi="Arial"/>
          <w:color w:val="000000"/>
          <w:sz w:val="20"/>
          <w:lang w:val="en-US"/>
        </w:rPr>
        <w:t>Before 17:50 on the defense day, submit in Canvas the repository URL, full Git commit SHA, team members and direct link to the submitted tree. Canvas provides the deadline timestamp; the SHA fixes the version evaluated.</w:t>
      </w:r>
    </w:p>
    <w:p>
      <w:pPr>
        <w:pStyle w:val="ListParagraph"/>
        <w:numPr>
          <w:ilvl w:val="0"/>
          <w:numId w:val="3"/>
        </w:numPr>
        <w:spacing w:before="0" w:after="40"/>
        <w:contextualSpacing/>
        <w:rPr>
          <w:lang w:val="en-US"/>
        </w:rPr>
      </w:pPr>
      <w:r>
        <w:rPr>
          <w:rFonts w:ascii="Arial" w:hAnsi="Arial"/>
          <w:color w:val="000000"/>
          <w:sz w:val="20"/>
          <w:lang w:val="en-US"/>
        </w:rPr>
        <w:t>Later commits are ignored. Do not force-push, rewrite history or delete the submitted version until grading and review are complete.</w:t>
      </w:r>
    </w:p>
    <w:p>
      <w:pPr>
        <w:pStyle w:val="ListParagraph"/>
        <w:numPr>
          <w:ilvl w:val="0"/>
          <w:numId w:val="3"/>
        </w:numPr>
        <w:spacing w:before="0" w:after="40"/>
        <w:contextualSpacing/>
        <w:rPr>
          <w:lang w:val="en-US"/>
        </w:rPr>
      </w:pPr>
      <w:r>
        <w:rPr>
          <w:rFonts w:ascii="Arial" w:hAnsi="Arial"/>
          <w:color w:val="000000"/>
          <w:sz w:val="20"/>
          <w:lang w:val="en-US"/>
        </w:rPr>
        <w:t>If Canvas has a verifiable outage, email the UDD account before 17:50 with the repository URL and full SHA, then complete the Canvas submission after service is restored.</w:t>
      </w:r>
    </w:p>
    <w:p>
      <w:pPr>
        <w:pStyle w:val="Heading2"/>
        <w:spacing w:before="140" w:after="40"/>
        <w:ind w:hanging="0" w:left="0"/>
        <w:jc w:val="left"/>
        <w:rPr>
          <w:b/>
          <w:color w:val="000000"/>
          <w:u w:val="none"/>
        </w:rPr>
      </w:pPr>
      <w:r>
        <w:rPr>
          <w:b/>
          <w:color w:val="000000"/>
          <w:u w:val="none"/>
        </w:rPr>
        <w:t>Use of Artificial Intelligence</w:t>
      </w:r>
    </w:p>
    <w:p>
      <w:pPr>
        <w:pStyle w:val="ListParagraph"/>
        <w:numPr>
          <w:ilvl w:val="0"/>
          <w:numId w:val="3"/>
        </w:numPr>
        <w:spacing w:before="0" w:after="40"/>
        <w:contextualSpacing/>
        <w:rPr>
          <w:lang w:val="en-US"/>
        </w:rPr>
      </w:pPr>
      <w:r>
        <w:rPr>
          <w:rFonts w:ascii="Arial" w:hAnsi="Arial"/>
          <w:color w:val="000000"/>
          <w:sz w:val="20"/>
          <w:lang w:val="en-US"/>
        </w:rPr>
        <w:t>Use must follow the UDD Artificial Intelligence Regulation (DR No. 41-26). Only public-domain course data may be used with personal AI accounts; credentials, internal information and personal data must not be disclosed.</w:t>
      </w:r>
    </w:p>
    <w:p>
      <w:pPr>
        <w:pStyle w:val="ListParagraph"/>
        <w:numPr>
          <w:ilvl w:val="0"/>
          <w:numId w:val="3"/>
        </w:numPr>
        <w:spacing w:before="0" w:after="40"/>
        <w:contextualSpacing/>
        <w:rPr>
          <w:lang w:val="en-US"/>
        </w:rPr>
      </w:pPr>
      <w:r>
        <w:rPr>
          <w:rFonts w:ascii="Arial" w:hAnsi="Arial"/>
          <w:color w:val="000000"/>
          <w:sz w:val="20"/>
          <w:lang w:val="en-US"/>
        </w:rPr>
        <w:t>AI may support analysis, code, writing and presentation preparation. Submission means the student has reviewed and accepts full responsibility for accuracy, sources and decisions.</w:t>
      </w:r>
    </w:p>
    <w:p>
      <w:pPr>
        <w:pStyle w:val="ListParagraph"/>
        <w:numPr>
          <w:ilvl w:val="0"/>
          <w:numId w:val="3"/>
        </w:numPr>
        <w:spacing w:before="0" w:after="40"/>
        <w:contextualSpacing/>
        <w:rPr/>
      </w:pPr>
      <w:r>
        <w:rPr>
          <w:rFonts w:ascii="Arial" w:hAnsi="Arial"/>
          <w:color w:val="000000"/>
          <w:sz w:val="20"/>
          <w:lang w:val="en-US"/>
        </w:rPr>
        <w:t xml:space="preserve">Required disclosure includes consequential prompts and responses, verification, sources, accepted and rejected suggestions and student-owned decisions. </w:t>
      </w:r>
      <w:r>
        <w:rPr>
          <w:rFonts w:ascii="Arial" w:hAnsi="Arial"/>
          <w:color w:val="000000"/>
          <w:sz w:val="20"/>
        </w:rPr>
        <w:t>Disclosure alone does not replace verification.</w:t>
      </w:r>
    </w:p>
    <w:p>
      <w:pPr>
        <w:pStyle w:val="Heading2"/>
        <w:spacing w:before="140" w:after="40"/>
        <w:ind w:hanging="0" w:left="0"/>
        <w:jc w:val="left"/>
        <w:rPr/>
      </w:pPr>
      <w:r>
        <w:rPr>
          <w:b/>
          <w:color w:val="000000"/>
          <w:u w:val="none"/>
        </w:rPr>
        <w:t>Attendance, Feedback and Academic Procedures</w:t>
      </w:r>
    </w:p>
    <w:p>
      <w:pPr>
        <w:pStyle w:val="ListParagraph"/>
        <w:numPr>
          <w:ilvl w:val="0"/>
          <w:numId w:val="3"/>
        </w:numPr>
        <w:spacing w:before="0" w:after="40"/>
        <w:contextualSpacing/>
        <w:rPr>
          <w:lang w:val="en-US"/>
        </w:rPr>
      </w:pPr>
      <w:r>
        <w:rPr>
          <w:rFonts w:ascii="Arial" w:hAnsi="Arial"/>
          <w:color w:val="000000"/>
          <w:sz w:val="20"/>
          <w:lang w:val="en-US"/>
        </w:rPr>
        <w:t>Attendance may be recorded for follow-up, but no minimum attendance threshold applies to passing the course.</w:t>
      </w:r>
    </w:p>
    <w:p>
      <w:pPr>
        <w:pStyle w:val="ListParagraph"/>
        <w:numPr>
          <w:ilvl w:val="0"/>
          <w:numId w:val="3"/>
        </w:numPr>
        <w:spacing w:before="0" w:after="40"/>
        <w:contextualSpacing/>
        <w:rPr>
          <w:lang w:val="en-US"/>
        </w:rPr>
      </w:pPr>
      <w:r>
        <w:rPr>
          <w:rFonts w:ascii="Arial" w:hAnsi="Arial"/>
          <w:color w:val="000000"/>
          <w:sz w:val="20"/>
          <w:lang w:val="en-US"/>
        </w:rPr>
        <w:t>Grades and feedback will be provided within seven working days. Students may request review within five working days after grades are released, following Faculty procedures.</w:t>
      </w:r>
    </w:p>
    <w:p>
      <w:pPr>
        <w:pStyle w:val="ListParagraph"/>
        <w:numPr>
          <w:ilvl w:val="0"/>
          <w:numId w:val="3"/>
        </w:numPr>
        <w:spacing w:before="0" w:after="40"/>
        <w:contextualSpacing/>
        <w:rPr>
          <w:lang w:val="en-US"/>
        </w:rPr>
      </w:pPr>
      <w:r>
        <w:rPr>
          <w:rFonts w:ascii="Arial" w:hAnsi="Arial"/>
          <w:color w:val="000000"/>
          <w:sz w:val="20"/>
          <w:lang w:val="en-US"/>
        </w:rPr>
        <w:t>Only absences from major assessments and examinations are formally justifiable. Documentation must be submitted to the Faculty within two working days. The instructor cannot authorize a make-up; the Faculty Directorate applies the institutional procedure and global recuperative assessment where applicable.</w:t>
      </w:r>
    </w:p>
    <w:p>
      <w:pPr>
        <w:pStyle w:val="Heading2"/>
        <w:spacing w:before="140" w:after="40"/>
        <w:ind w:hanging="0" w:left="0"/>
        <w:jc w:val="left"/>
        <w:rPr>
          <w:b/>
          <w:color w:val="000000"/>
          <w:u w:val="none"/>
        </w:rPr>
      </w:pPr>
      <w:r>
        <w:rPr>
          <w:b/>
          <w:color w:val="000000"/>
          <w:u w:val="none"/>
        </w:rPr>
        <w:t>Final Examination</w:t>
      </w:r>
    </w:p>
    <w:p>
      <w:pPr>
        <w:pStyle w:val="ListParagraph"/>
        <w:numPr>
          <w:ilvl w:val="0"/>
          <w:numId w:val="3"/>
        </w:numPr>
        <w:spacing w:before="0" w:after="40"/>
        <w:contextualSpacing/>
        <w:rPr/>
      </w:pPr>
      <w:r>
        <w:rPr>
          <w:rFonts w:ascii="Arial" w:hAnsi="Arial"/>
          <w:color w:val="000000"/>
          <w:sz w:val="20"/>
          <w:lang w:val="en-US"/>
        </w:rPr>
        <w:t xml:space="preserve">The final examination is individual, written, cumulative and closed. </w:t>
      </w:r>
      <w:r>
        <w:rPr>
          <w:rFonts w:ascii="Arial" w:hAnsi="Arial"/>
          <w:color w:val="000000"/>
          <w:sz w:val="20"/>
        </w:rPr>
        <w:t>Notes, devices and AI assistance are prohibited.</w:t>
      </w:r>
    </w:p>
    <w:p>
      <w:pPr>
        <w:pStyle w:val="ListParagraph"/>
        <w:numPr>
          <w:ilvl w:val="0"/>
          <w:numId w:val="3"/>
        </w:numPr>
        <w:spacing w:before="0" w:after="40"/>
        <w:contextualSpacing/>
        <w:rPr>
          <w:lang w:val="en-US"/>
        </w:rPr>
      </w:pPr>
      <w:r>
        <w:rPr>
          <w:rFonts w:ascii="Arial" w:hAnsi="Arial"/>
          <w:color w:val="000000"/>
          <w:sz w:val="20"/>
          <w:lang w:val="en-US"/>
        </w:rPr>
        <w:t>Date and time: Wednesday 25 November 2026, 17:50-20:20, as scheduled by the Faculty. This is an exception to the regular Tuesday/Thursday teaching pattern. The examination has two 70-minute modules separated by the institutional 19:00-19:10 break. It represents 30% of the final grade and requires a minimum grade of 3.0 under institutional rules.</w:t>
      </w:r>
    </w:p>
    <w:p>
      <w:pPr>
        <w:pStyle w:val="Heading1"/>
        <w:spacing w:before="200" w:after="100"/>
        <w:ind w:hanging="0" w:left="0"/>
        <w:jc w:val="left"/>
        <w:rPr>
          <w:color w:val="000000"/>
          <w:sz w:val="23"/>
        </w:rPr>
      </w:pPr>
      <w:r>
        <w:rPr>
          <w:color w:val="000000"/>
          <w:sz w:val="23"/>
        </w:rPr>
        <w:t>9.   PROFESSIONAL CONDUCT</w:t>
      </w:r>
    </w:p>
    <w:p>
      <w:pPr>
        <w:pStyle w:val="ListParagraph"/>
        <w:numPr>
          <w:ilvl w:val="0"/>
          <w:numId w:val="3"/>
        </w:numPr>
        <w:spacing w:before="0" w:after="40"/>
        <w:contextualSpacing/>
        <w:rPr>
          <w:lang w:val="en-US"/>
        </w:rPr>
      </w:pPr>
      <w:r>
        <w:rPr>
          <w:rFonts w:ascii="Arial" w:hAnsi="Arial"/>
          <w:color w:val="000000"/>
          <w:sz w:val="20"/>
          <w:lang w:val="en-US"/>
        </w:rPr>
        <w:t>Arrive ready to begin at the scheduled time and use class technology for the learning activity in progress.</w:t>
      </w:r>
    </w:p>
    <w:p>
      <w:pPr>
        <w:pStyle w:val="ListParagraph"/>
        <w:numPr>
          <w:ilvl w:val="0"/>
          <w:numId w:val="3"/>
        </w:numPr>
        <w:spacing w:before="0" w:after="40"/>
        <w:contextualSpacing/>
        <w:rPr>
          <w:lang w:val="en-US"/>
        </w:rPr>
      </w:pPr>
      <w:r>
        <w:rPr>
          <w:rFonts w:ascii="Arial" w:hAnsi="Arial"/>
          <w:color w:val="000000"/>
          <w:sz w:val="20"/>
          <w:lang w:val="en-US"/>
        </w:rPr>
        <w:t>Maintain respectful discussion, protect the work of classmates and distinguish collaboration from submitting another person's or agent's decisions as your own.</w:t>
      </w:r>
    </w:p>
    <w:p>
      <w:pPr>
        <w:pStyle w:val="ListParagraph"/>
        <w:numPr>
          <w:ilvl w:val="0"/>
          <w:numId w:val="3"/>
        </w:numPr>
        <w:spacing w:before="0" w:after="40"/>
        <w:contextualSpacing/>
        <w:rPr/>
      </w:pPr>
      <w:r>
        <w:rPr>
          <w:rFonts w:ascii="Arial" w:hAnsi="Arial"/>
          <w:color w:val="000000"/>
          <w:sz w:val="20"/>
          <w:lang w:val="en-US"/>
        </w:rPr>
        <w:t xml:space="preserve">Communicate limitations, uncertainty, bias and privacy risks honestly. </w:t>
      </w:r>
      <w:r>
        <w:rPr>
          <w:rFonts w:ascii="Arial" w:hAnsi="Arial"/>
          <w:color w:val="000000"/>
          <w:sz w:val="20"/>
        </w:rPr>
        <w:t>A technically polished result does not justify unsupported claims.</w:t>
      </w:r>
    </w:p>
    <w:p>
      <w:pPr>
        <w:pStyle w:val="Heading1"/>
        <w:spacing w:before="200" w:after="100"/>
        <w:ind w:hanging="0" w:left="0"/>
        <w:jc w:val="left"/>
        <w:rPr>
          <w:color w:val="000000"/>
          <w:sz w:val="23"/>
        </w:rPr>
      </w:pPr>
      <w:r>
        <w:rPr>
          <w:color w:val="000000"/>
          <w:sz w:val="23"/>
        </w:rPr>
        <w:t>10.   BIBLIOGRAPHY</w:t>
      </w:r>
    </w:p>
    <w:p>
      <w:pPr>
        <w:pStyle w:val="Heading2"/>
        <w:spacing w:before="140" w:after="40"/>
        <w:ind w:hanging="0" w:left="0"/>
        <w:jc w:val="left"/>
        <w:rPr>
          <w:b/>
          <w:color w:val="000000"/>
          <w:u w:val="none"/>
        </w:rPr>
      </w:pPr>
      <w:r>
        <w:rPr>
          <w:b/>
          <w:color w:val="000000"/>
          <w:u w:val="none"/>
        </w:rPr>
        <w:t>Required</w:t>
      </w:r>
    </w:p>
    <w:p>
      <w:pPr>
        <w:pStyle w:val="ListParagraph"/>
        <w:numPr>
          <w:ilvl w:val="0"/>
          <w:numId w:val="3"/>
        </w:numPr>
        <w:spacing w:before="0" w:after="40"/>
        <w:contextualSpacing/>
        <w:rPr/>
      </w:pPr>
      <w:r>
        <w:rPr>
          <w:rFonts w:ascii="Arial" w:hAnsi="Arial"/>
          <w:color w:val="000000"/>
          <w:sz w:val="20"/>
          <w:lang w:val="en-US"/>
        </w:rPr>
        <w:t xml:space="preserve">Sherman, R. (2014). Business Intelligence Guidebook: From Data Integration to Analytics. </w:t>
      </w:r>
      <w:r>
        <w:rPr>
          <w:rFonts w:ascii="Arial" w:hAnsi="Arial"/>
          <w:color w:val="000000"/>
          <w:sz w:val="20"/>
        </w:rPr>
        <w:t>9780124115286</w:t>
      </w:r>
    </w:p>
    <w:p>
      <w:pPr>
        <w:pStyle w:val="ListParagraph"/>
        <w:numPr>
          <w:ilvl w:val="0"/>
          <w:numId w:val="3"/>
        </w:numPr>
        <w:spacing w:before="0" w:after="40"/>
        <w:contextualSpacing/>
        <w:rPr>
          <w:lang w:val="en-US"/>
        </w:rPr>
      </w:pPr>
      <w:r>
        <w:rPr>
          <w:rFonts w:ascii="Arial" w:hAnsi="Arial"/>
          <w:color w:val="000000"/>
          <w:sz w:val="20"/>
          <w:lang w:val="en-US"/>
        </w:rPr>
        <w:t>James, G., Witten, D., Hastie, T., &amp; Tibshirani, R. (2021). An Introduction to Statistical Learning: with Applications in R.</w:t>
      </w:r>
    </w:p>
    <w:p>
      <w:pPr>
        <w:pStyle w:val="Heading2"/>
        <w:spacing w:before="140" w:after="40"/>
        <w:ind w:hanging="0" w:left="0"/>
        <w:jc w:val="left"/>
        <w:rPr>
          <w:b/>
          <w:color w:val="000000"/>
          <w:u w:val="none"/>
        </w:rPr>
      </w:pPr>
      <w:r>
        <w:rPr>
          <w:b/>
          <w:color w:val="000000"/>
          <w:u w:val="none"/>
        </w:rPr>
        <w:t>Complementary</w:t>
      </w:r>
    </w:p>
    <w:p>
      <w:pPr>
        <w:pStyle w:val="ListParagraph"/>
        <w:numPr>
          <w:ilvl w:val="0"/>
          <w:numId w:val="3"/>
        </w:numPr>
        <w:spacing w:before="0" w:after="40"/>
        <w:contextualSpacing/>
        <w:rPr>
          <w:lang w:val="en-US"/>
        </w:rPr>
      </w:pPr>
      <w:r>
        <w:rPr>
          <w:rFonts w:ascii="Arial" w:hAnsi="Arial"/>
          <w:color w:val="000000"/>
          <w:sz w:val="20"/>
        </w:rPr>
        <w:t xml:space="preserve">Sharda, R., Delen, D., &amp; Turban, E. (2017). </w:t>
      </w:r>
      <w:r>
        <w:rPr>
          <w:rFonts w:ascii="Arial" w:hAnsi="Arial"/>
          <w:color w:val="000000"/>
          <w:sz w:val="20"/>
          <w:lang w:val="en-US"/>
        </w:rPr>
        <w:t>Business Intelligence, Analytics, and Data Science: A Managerial Perspective (4th ed.).</w:t>
      </w:r>
    </w:p>
    <w:p>
      <w:pPr>
        <w:pStyle w:val="ListParagraph"/>
        <w:numPr>
          <w:ilvl w:val="0"/>
          <w:numId w:val="3"/>
        </w:numPr>
        <w:spacing w:before="0" w:after="40"/>
        <w:contextualSpacing/>
        <w:rPr>
          <w:lang w:val="en-US"/>
        </w:rPr>
      </w:pPr>
      <w:r>
        <w:rPr>
          <w:rFonts w:ascii="Arial" w:hAnsi="Arial"/>
          <w:color w:val="000000"/>
          <w:sz w:val="20"/>
          <w:lang w:val="en-US"/>
        </w:rPr>
        <w:t>Loshin, D. (2012). Business Intelligence: The Savvy Manager's Guide.</w:t>
      </w:r>
    </w:p>
    <w:sectPr>
      <w:headerReference w:type="default" r:id="rId5"/>
      <w:headerReference w:type="first" r:id="rId6"/>
      <w:type w:val="nextPage"/>
      <w:pgSz w:w="12240" w:h="15840"/>
      <w:pgMar w:left="1699" w:right="1699" w:gutter="0" w:header="504" w:top="1411" w:footer="0" w:bottom="99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Bookman Old Style">
    <w:charset w:val="01"/>
    <w:family w:val="roman"/>
    <w:pitch w:val="variable"/>
  </w:font>
  <w:font w:name="Tahoma">
    <w:charset w:val="01"/>
    <w:family w:val="roman"/>
    <w:pitch w:val="variable"/>
  </w:font>
  <w:font w:name="Arial Unicode MS">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8">
          <wp:simplePos x="0" y="0"/>
          <wp:positionH relativeFrom="column">
            <wp:posOffset>4229100</wp:posOffset>
          </wp:positionH>
          <wp:positionV relativeFrom="paragraph">
            <wp:posOffset>2540</wp:posOffset>
          </wp:positionV>
          <wp:extent cx="1381760" cy="375920"/>
          <wp:effectExtent l="0" t="0" r="0" b="0"/>
          <wp:wrapNone/>
          <wp:docPr id="1" name="Imagen 998112265" descr="UDD institutional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998112265" descr="UDD institutional header logo"/>
                  <pic:cNvPicPr>
                    <a:picLocks noChangeAspect="1" noChangeArrowheads="1"/>
                  </pic:cNvPicPr>
                </pic:nvPicPr>
                <pic:blipFill>
                  <a:blip r:embed="rId1"/>
                  <a:stretch>
                    <a:fillRect/>
                  </a:stretch>
                </pic:blipFill>
                <pic:spPr bwMode="auto">
                  <a:xfrm>
                    <a:off x="0" y="0"/>
                    <a:ext cx="1381760" cy="375920"/>
                  </a:xfrm>
                  <a:prstGeom prst="rect">
                    <a:avLst/>
                  </a:prstGeom>
                </pic:spPr>
              </pic:pic>
            </a:graphicData>
          </a:graphic>
        </wp:anchor>
      </w:drawing>
      <w:drawing>
        <wp:inline distT="0" distB="0" distL="0" distR="0">
          <wp:extent cx="1104900" cy="190500"/>
          <wp:effectExtent l="0" t="0" r="0" b="0"/>
          <wp:docPr id="2" name="Imagen 662890449" descr="UDD institutional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62890449" descr="UDD institutional header logo"/>
                  <pic:cNvPicPr>
                    <a:picLocks noChangeAspect="1" noChangeArrowheads="1"/>
                  </pic:cNvPicPr>
                </pic:nvPicPr>
                <pic:blipFill>
                  <a:blip r:embed="rId2"/>
                  <a:stretch>
                    <a:fillRect/>
                  </a:stretch>
                </pic:blipFill>
                <pic:spPr bwMode="auto">
                  <a:xfrm>
                    <a:off x="0" y="0"/>
                    <a:ext cx="1104900" cy="190500"/>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6">
          <wp:simplePos x="0" y="0"/>
          <wp:positionH relativeFrom="column">
            <wp:posOffset>4229100</wp:posOffset>
          </wp:positionH>
          <wp:positionV relativeFrom="paragraph">
            <wp:posOffset>2540</wp:posOffset>
          </wp:positionV>
          <wp:extent cx="1381760" cy="375920"/>
          <wp:effectExtent l="0" t="0" r="0" b="0"/>
          <wp:wrapNone/>
          <wp:docPr id="3" name="Imagen 998112265 Copy 1" descr="UDD institutional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998112265 Copy 1" descr="UDD institutional header logo"/>
                  <pic:cNvPicPr>
                    <a:picLocks noChangeAspect="1" noChangeArrowheads="1"/>
                  </pic:cNvPicPr>
                </pic:nvPicPr>
                <pic:blipFill>
                  <a:blip r:embed="rId1"/>
                  <a:stretch>
                    <a:fillRect/>
                  </a:stretch>
                </pic:blipFill>
                <pic:spPr bwMode="auto">
                  <a:xfrm>
                    <a:off x="0" y="0"/>
                    <a:ext cx="1381760" cy="375920"/>
                  </a:xfrm>
                  <a:prstGeom prst="rect">
                    <a:avLst/>
                  </a:prstGeom>
                </pic:spPr>
              </pic:pic>
            </a:graphicData>
          </a:graphic>
        </wp:anchor>
      </w:drawing>
      <w:drawing>
        <wp:inline distT="0" distB="0" distL="0" distR="0">
          <wp:extent cx="1104900" cy="190500"/>
          <wp:effectExtent l="0" t="0" r="0" b="0"/>
          <wp:docPr id="4" name="Imagen 662890449 Copy 1" descr="UDD institutional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62890449 Copy 1" descr="UDD institutional header logo"/>
                  <pic:cNvPicPr>
                    <a:picLocks noChangeAspect="1" noChangeArrowheads="1"/>
                  </pic:cNvPicPr>
                </pic:nvPicPr>
                <pic:blipFill>
                  <a:blip r:embed="rId2"/>
                  <a:stretch>
                    <a:fillRect/>
                  </a:stretch>
                </pic:blipFill>
                <pic:spPr bwMode="auto">
                  <a:xfrm>
                    <a:off x="0" y="0"/>
                    <a:ext cx="1104900" cy="19050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3">
          <wp:simplePos x="0" y="0"/>
          <wp:positionH relativeFrom="column">
            <wp:posOffset>4229100</wp:posOffset>
          </wp:positionH>
          <wp:positionV relativeFrom="paragraph">
            <wp:posOffset>2540</wp:posOffset>
          </wp:positionV>
          <wp:extent cx="1381760" cy="375920"/>
          <wp:effectExtent l="0" t="0" r="0" b="0"/>
          <wp:wrapNone/>
          <wp:docPr id="5" name="Imagen 998112265 Copy 1 Copy 1" descr="UDD institutional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98112265 Copy 1 Copy 1" descr="UDD institutional header logo"/>
                  <pic:cNvPicPr>
                    <a:picLocks noChangeAspect="1" noChangeArrowheads="1"/>
                  </pic:cNvPicPr>
                </pic:nvPicPr>
                <pic:blipFill>
                  <a:blip r:embed="rId1"/>
                  <a:stretch>
                    <a:fillRect/>
                  </a:stretch>
                </pic:blipFill>
                <pic:spPr bwMode="auto">
                  <a:xfrm>
                    <a:off x="0" y="0"/>
                    <a:ext cx="1381760" cy="375920"/>
                  </a:xfrm>
                  <a:prstGeom prst="rect">
                    <a:avLst/>
                  </a:prstGeom>
                </pic:spPr>
              </pic:pic>
            </a:graphicData>
          </a:graphic>
        </wp:anchor>
      </w:drawing>
      <w:drawing>
        <wp:inline distT="0" distB="0" distL="0" distR="0">
          <wp:extent cx="1104900" cy="190500"/>
          <wp:effectExtent l="0" t="0" r="0" b="0"/>
          <wp:docPr id="6" name="Imagen 662890449 Copy 1 Copy 1" descr="UDD institutional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62890449 Copy 1 Copy 1" descr="UDD institutional header logo"/>
                  <pic:cNvPicPr>
                    <a:picLocks noChangeAspect="1" noChangeArrowheads="1"/>
                  </pic:cNvPicPr>
                </pic:nvPicPr>
                <pic:blipFill>
                  <a:blip r:embed="rId2"/>
                  <a:stretch>
                    <a:fillRect/>
                  </a:stretch>
                </pic:blipFill>
                <pic:spPr bwMode="auto">
                  <a:xfrm>
                    <a:off x="0" y="0"/>
                    <a:ext cx="1104900" cy="190500"/>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08"/>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CL" w:bidi="ar-SA"/>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left"/>
    </w:pPr>
    <w:rPr>
      <w:rFonts w:ascii="Arial" w:hAnsi="Arial" w:eastAsia="Times New Roman" w:cs="Times New Roman"/>
      <w:color w:val="auto"/>
      <w:kern w:val="0"/>
      <w:sz w:val="21"/>
      <w:szCs w:val="20"/>
      <w:lang w:val="es-MX" w:eastAsia="es-ES" w:bidi="ar-SA"/>
    </w:rPr>
  </w:style>
  <w:style w:type="paragraph" w:styleId="Heading1">
    <w:name w:val="Heading 1"/>
    <w:basedOn w:val="Normal"/>
    <w:next w:val="Normal"/>
    <w:qFormat/>
    <w:pPr>
      <w:keepNext w:val="true"/>
      <w:numPr>
        <w:ilvl w:val="0"/>
        <w:numId w:val="0"/>
      </w:numPr>
      <w:jc w:val="center"/>
      <w:outlineLvl w:val="0"/>
    </w:pPr>
    <w:rPr>
      <w:b/>
      <w:lang w:val="es-ES_tradnl"/>
    </w:rPr>
  </w:style>
  <w:style w:type="paragraph" w:styleId="Heading2">
    <w:name w:val="Heading 2"/>
    <w:basedOn w:val="Normal"/>
    <w:next w:val="Normal"/>
    <w:qFormat/>
    <w:pPr>
      <w:keepNext w:val="true"/>
      <w:numPr>
        <w:ilvl w:val="0"/>
        <w:numId w:val="0"/>
      </w:numPr>
      <w:jc w:val="both"/>
      <w:outlineLvl w:val="1"/>
    </w:pPr>
    <w:rPr>
      <w:u w:val="single"/>
      <w:lang w:val="es-ES_tradnl"/>
    </w:rPr>
  </w:style>
  <w:style w:type="paragraph" w:styleId="Heading3">
    <w:name w:val="Heading 3"/>
    <w:basedOn w:val="Normal"/>
    <w:next w:val="Normal"/>
    <w:qFormat/>
    <w:pPr>
      <w:keepNext w:val="true"/>
      <w:numPr>
        <w:ilvl w:val="0"/>
        <w:numId w:val="0"/>
      </w:numPr>
      <w:jc w:val="both"/>
      <w:outlineLvl w:val="2"/>
    </w:pPr>
    <w:rPr>
      <w:b/>
      <w:lang w:val="es-ES_tradnl"/>
    </w:rPr>
  </w:style>
  <w:style w:type="paragraph" w:styleId="Heading4">
    <w:name w:val="Heading 4"/>
    <w:basedOn w:val="Normal"/>
    <w:next w:val="Normal"/>
    <w:qFormat/>
    <w:pPr>
      <w:keepNext w:val="true"/>
      <w:numPr>
        <w:ilvl w:val="0"/>
        <w:numId w:val="0"/>
      </w:numPr>
      <w:outlineLvl w:val="3"/>
    </w:pPr>
    <w:rPr>
      <w:b/>
      <w:lang w:val="es-ES_tradnl"/>
    </w:rPr>
  </w:style>
  <w:style w:type="paragraph" w:styleId="Heading5">
    <w:name w:val="Heading 5"/>
    <w:basedOn w:val="Normal"/>
    <w:next w:val="Normal"/>
    <w:qFormat/>
    <w:pPr>
      <w:keepNext w:val="true"/>
      <w:numPr>
        <w:ilvl w:val="0"/>
        <w:numId w:val="0"/>
      </w:numPr>
      <w:jc w:val="center"/>
      <w:outlineLvl w:val="4"/>
    </w:pPr>
    <w:rPr>
      <w:b/>
      <w:sz w:val="16"/>
    </w:rPr>
  </w:style>
  <w:style w:type="character" w:styleId="DefaultParagraphFont">
    <w:name w:val="Default Paragraph Font"/>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qFormat/>
    <w:pPr>
      <w:jc w:val="center"/>
    </w:pPr>
    <w:rPr>
      <w:b/>
      <w:u w:val="single"/>
      <w:lang w:val="es-ES_tradnl"/>
    </w:rPr>
  </w:style>
  <w:style w:type="paragraph" w:styleId="BodyTextIndent">
    <w:name w:val="Body Text Indent"/>
    <w:basedOn w:val="Normal"/>
    <w:pPr>
      <w:ind w:left="360"/>
      <w:jc w:val="both"/>
    </w:pPr>
    <w:rPr>
      <w:lang w:val="es-ES_tradnl"/>
    </w:rPr>
  </w:style>
  <w:style w:type="paragraph" w:styleId="HeaderandFooter">
    <w:name w:val="Header and Footer"/>
    <w:basedOn w:val="Normal"/>
    <w:qFormat/>
    <w:pPr/>
    <w:rPr/>
  </w:style>
  <w:style w:type="paragraph" w:styleId="Header">
    <w:name w:val="Header"/>
    <w:basedOn w:val="Normal"/>
    <w:pPr>
      <w:tabs>
        <w:tab w:val="clear" w:pos="708"/>
        <w:tab w:val="center" w:pos="4419" w:leader="none"/>
        <w:tab w:val="right" w:pos="8838" w:leader="none"/>
      </w:tabs>
    </w:pPr>
    <w:rPr>
      <w:lang w:val="es-CL"/>
    </w:rPr>
  </w:style>
  <w:style w:type="paragraph" w:styleId="bibliografa">
    <w:name w:val="bibliografía"/>
    <w:basedOn w:val="Normal"/>
    <w:autoRedefine/>
    <w:qFormat/>
    <w:pPr>
      <w:numPr>
        <w:ilvl w:val="0"/>
        <w:numId w:val="2"/>
      </w:numPr>
      <w:tabs>
        <w:tab w:val="clear" w:pos="708"/>
        <w:tab w:val="left" w:pos="4253" w:leader="none"/>
      </w:tabs>
    </w:pPr>
    <w:rPr>
      <w:rFonts w:ascii="Bookman Old Style" w:hAnsi="Bookman Old Style"/>
      <w:sz w:val="24"/>
      <w:lang w:val="es-ES"/>
    </w:rPr>
  </w:style>
  <w:style w:type="paragraph" w:styleId="DocumentMap">
    <w:name w:val="Document Map"/>
    <w:basedOn w:val="Normal"/>
    <w:qFormat/>
    <w:pPr>
      <w:shd w:fill="000080" w:val="clear"/>
    </w:pPr>
    <w:rPr>
      <w:rFonts w:ascii="Tahoma" w:hAnsi="Tahoma"/>
    </w:rPr>
  </w:style>
  <w:style w:type="paragraph" w:styleId="Footer">
    <w:name w:val="Footer"/>
    <w:basedOn w:val="Normal"/>
    <w:pPr>
      <w:tabs>
        <w:tab w:val="clear" w:pos="708"/>
        <w:tab w:val="center" w:pos="4419" w:leader="none"/>
        <w:tab w:val="right" w:pos="8838" w:leader="none"/>
      </w:tabs>
    </w:pPr>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rFonts w:ascii="Arial Unicode MS" w:hAnsi="Arial Unicode MS" w:eastAsia="Arial Unicode MS" w:cs="Arial Unicode MS"/>
      <w:sz w:val="24"/>
      <w:szCs w:val="24"/>
      <w:lang w:val="en-US" w:eastAsia="en-US"/>
    </w:rPr>
  </w:style>
  <w:style w:type="paragraph" w:styleId="ListParagraph">
    <w:name w:val="List Paragraph"/>
    <w:basedOn w:val="Normal"/>
    <w:qFormat/>
    <w:pPr>
      <w:spacing w:before="0" w:after="0"/>
      <w:ind w:left="720"/>
      <w:contextualSpacing/>
    </w:pPr>
    <w:rPr>
      <w:rFonts w:ascii="Cambria" w:hAnsi="Cambria" w:eastAsia="Cambria"/>
      <w:sz w:val="24"/>
      <w:szCs w:val="24"/>
      <w:lang w:val="es-ES_tradnl" w:eastAsia="en-US"/>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492</TotalTime>
  <Application>LibreOffice/24.2.7.2$Linux_X86_64 LibreOffice_project/420$Build-2</Application>
  <AppVersion>15.0000</AppVersion>
  <Pages>7</Pages>
  <Words>2989</Words>
  <Characters>18181</Characters>
  <CharactersWithSpaces>20775</CharactersWithSpaces>
  <Paragraphs>392</Paragraphs>
  <Company>Universidad del Desarrollo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2026-07-14T14:31:00Z</dcterms:created>
  <dc:creator/>
  <dc:description>Created from the official Faculty of Engineering calendarization template.</dc:description>
  <dc:language>en-US</dc:language>
  <cp:lastModifiedBy/>
  <cp:lastPrinted>2026-07-14T14:14:00Z</cp:lastPrinted>
  <dcterms:modified xsi:type="dcterms:W3CDTF">2026-09-10T15:49:42Z</dcterms:modified>
  <cp:revision>40</cp:revision>
  <dc:subject>Student-facing course calendarization</dc:subject>
  <dc:title>Business Intelligence IIB423T-1 Course Calendarization - Third Term 2026</dc:title>
</cp:coreProperties>
</file>

<file path=docProps/custom.xml><?xml version="1.0" encoding="utf-8"?>
<Properties xmlns="http://schemas.openxmlformats.org/officeDocument/2006/custom-properties" xmlns:vt="http://schemas.openxmlformats.org/officeDocument/2006/docPropsVTypes"/>
</file>