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88C4" w14:textId="77777777" w:rsidR="0060582D" w:rsidRDefault="0060582D" w:rsidP="0060582D">
      <w:pPr>
        <w:pStyle w:val="Heading1"/>
      </w:pPr>
      <w:r>
        <w:t xml:space="preserve">Analisi delle Performance Q3 2025</w:t>
      </w:r>
    </w:p>
    <w:p w14:paraId="5864CB73" w14:textId="77777777" w:rsidR="0060582D" w:rsidRDefault="0060582D" w:rsidP="0060582D">
      <w:r>
        <w:t xml:space="preserve">Company: Innovatech Solutions S.p.A.</w:t>
      </w:r>
    </w:p>
    <w:p w14:paraId="2DDDEB8C" w14:textId="77777777" w:rsidR="0060582D" w:rsidRDefault="0060582D" w:rsidP="0060582D">
      <w:r>
        <w:t xml:space="preserve">Date: 30 Settembre 2025</w:t>
      </w:r>
      <w:r>
        <w:tab/>
        <w:t xml:space="preserve">Version: 1.0</w:t>
      </w:r>
    </w:p>
    <w:p w14:paraId="35A21B7F" w14:textId="77777777" w:rsidR="0060582D" w:rsidRDefault="0060582D" w:rsidP="0060582D">
      <w:pPr>
        <w:pStyle w:val="Heading2"/>
      </w:pPr>
      <w:r>
        <w:t xml:space="preserve">Executive Summary</w:t>
      </w:r>
    </w:p>
    <w:p w14:paraId="2705B579" w14:textId="77777777" w:rsidR="0060582D" w:rsidRDefault="0060582D" w:rsidP="0060582D">
      <w:r>
        <w:t xml:space="preserve">Il terzo trimestre del 2025 ha mostrato una crescita robusta nei settori chiave, superando le previsioni del 5%. L'adozione della nuova piattaforma CRM ha migliorato l'efficienza operativa del 15%. Le sfide principali rimangono la penetrazione nel mercato asiatico e l'aumento dei costi delle materie prime.</w:t>
      </w:r>
    </w:p>
    <w:p w14:paraId="210FB0BC" w14:textId="77777777" w:rsidR="0060582D" w:rsidRDefault="0060582D" w:rsidP="0060582D">
      <w:pPr>
        <w:pStyle w:val="Heading2"/>
      </w:pPr>
      <w:r>
        <w:t>Introduction</w:t>
      </w:r>
    </w:p>
    <w:p w14:paraId="71FBE49A" w14:textId="77777777" w:rsidR="0060582D" w:rsidRDefault="0060582D" w:rsidP="0060582D">
      <w:r>
        <w:t xml:space="preserve">Questo report fornisce un'analisi dettagliata delle performance aziendali per il terzo trimestre (Q3) del 2025. Vengono esaminati i risultati finanziari, gli obiettivi operativi, le metriche di vendita e le iniziative strategiche intraprese nel periodo.</w:t>
      </w:r>
    </w:p>
    <w:p w14:paraId="677DCCA6" w14:textId="77777777" w:rsidR="0060582D" w:rsidRDefault="0060582D" w:rsidP="0060582D">
      <w:pPr>
        <w:pStyle w:val="Heading2"/>
      </w:pPr>
      <w:r>
        <w:t>Overview</w:t>
      </w:r>
    </w:p>
    <w:p w14:paraId="677C12D6" w14:textId="77777777" w:rsidR="0060582D" w:rsidRDefault="0060582D" w:rsidP="0060582D">
      <w:pPr>
        <w:pStyle w:val="Heading3"/>
      </w:pPr>
      <w:r>
        <w:t xml:space="preserve">Performance Finanziaria</w:t>
      </w:r>
    </w:p>
    <w:p w14:paraId="1DEB79EE" w14:textId="77777777" w:rsidR="0060582D" w:rsidRDefault="0060582D" w:rsidP="0060582D">
      <w:r>
        <w:t xml:space="preserve">I ricavi totali per il Q3 2025 hanno raggiunto i 1.2 milioni di Euro, con un margine di profitto netto del 12%. L'EBITDA si è attestato a 250.000 Euro, in linea con gli obiettivi trimestrali.</w:t>
      </w:r>
    </w:p>
    <w:p w14:paraId="677C12D6" w14:textId="77777777" w:rsidR="0060582D" w:rsidRDefault="0060582D" w:rsidP="0060582D">
      <w:pPr>
        <w:pStyle w:val="Heading3"/>
      </w:pPr>
      <w:r>
        <w:t xml:space="preserve">Analisi delle Vendite per Regione</w:t>
      </w:r>
    </w:p>
    <w:p w14:paraId="1DEB79EE" w14:textId="77777777" w:rsidR="0060582D" w:rsidRDefault="0060582D" w:rsidP="0060582D">
      <w:r>
        <w:t xml:space="preserve">La performance delle vendite è stata particolarmente forte in Europa, mentre il Nord America ha visto una crescita moderata. Le vendite online sono aumentate del 20% rispetto al trimestre precedente.</w:t>
      </w:r>
    </w:p>
    <w:p w14:paraId="48A1DD85" w14:textId="77777777" w:rsidR="0060582D" w:rsidRDefault="0060582D" w:rsidP="0060582D">
      <w:pPr>
        <w:pStyle w:val="Heading2"/>
      </w:pPr>
      <w:r>
        <w:t>Sales Details by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2543"/>
        <w:gridCol w:w="2607"/>
      </w:tblGrid>
      <w:tr w:rsidR="0060582D" w14:paraId="1FC36CF6" w14:textId="77777777" w:rsidTr="000043E7">
        <w:tc>
          <w:tcPr>
            <w:tcW w:w="3510" w:type="dxa"/>
          </w:tcPr>
          <w:p w14:paraId="04BC1B5A" w14:textId="77777777" w:rsidR="0060582D" w:rsidRDefault="0060582D" w:rsidP="000043E7">
            <w:r>
              <w:t>Region</w:t>
            </w:r>
          </w:p>
        </w:tc>
        <w:tc>
          <w:tcPr>
            <w:tcW w:w="2552" w:type="dxa"/>
          </w:tcPr>
          <w:p w14:paraId="3F71EB9D" w14:textId="77777777" w:rsidR="0060582D" w:rsidRDefault="0060582D" w:rsidP="000043E7">
            <w:r>
              <w:t>Revenue (k€)</w:t>
            </w:r>
          </w:p>
        </w:tc>
        <w:tc>
          <w:tcPr>
            <w:tcW w:w="2618" w:type="dxa"/>
          </w:tcPr>
          <w:p w14:paraId="1068CE6A" w14:textId="77777777" w:rsidR="0060582D" w:rsidRDefault="0060582D" w:rsidP="000043E7">
            <w:r>
              <w:t xml:space="preserve">Change vs Q2</w:t>
            </w:r>
          </w:p>
        </w:tc>
      </w:tr>
      <w:tr w:rsidR="0060582D" w14:paraId="1661F949" w14:textId="77777777" w:rsidTr="000043E7">
        <w:tc>
          <w:tcPr>
            <w:tcW w:w="3510" w:type="dxa"/>
          </w:tcPr>
          <w:p w14:paraId="570D6316" w14:textId="77777777" w:rsidR="0060582D" w:rsidRDefault="0060582D" w:rsidP="000043E7">
            <w:r>
              <w:t xml:space="preserve">Europa</w:t>
            </w:r>
          </w:p>
        </w:tc>
        <w:tc>
          <w:tcPr>
            <w:tcW w:w="2552" w:type="dxa"/>
          </w:tcPr>
          <w:p w14:paraId="379F15DD" w14:textId="77777777" w:rsidR="0060582D" w:rsidRDefault="0060582D" w:rsidP="000043E7">
            <w:r>
              <w:t xml:space="preserve">750</w:t>
            </w:r>
          </w:p>
        </w:tc>
        <w:tc>
          <w:tcPr>
            <w:tcW w:w="2618" w:type="dxa"/>
          </w:tcPr>
          <w:p w14:paraId="6D169513" w14:textId="77777777" w:rsidR="0060582D" w:rsidRDefault="0060582D" w:rsidP="000043E7">
            <w:r>
              <w:t xml:space="preserve">+8%</w:t>
            </w:r>
          </w:p>
        </w:tc>
      </w:tr>
      <w:tr w:rsidR="0060582D" w14:paraId="1661F949" w14:textId="77777777" w:rsidTr="000043E7">
        <w:tc>
          <w:tcPr>
            <w:tcW w:w="3510" w:type="dxa"/>
          </w:tcPr>
          <w:p w14:paraId="570D6316" w14:textId="77777777" w:rsidR="0060582D" w:rsidRDefault="0060582D" w:rsidP="000043E7">
            <w:r>
              <w:t xml:space="preserve">Nord America</w:t>
            </w:r>
          </w:p>
        </w:tc>
        <w:tc>
          <w:tcPr>
            <w:tcW w:w="2552" w:type="dxa"/>
          </w:tcPr>
          <w:p w14:paraId="379F15DD" w14:textId="77777777" w:rsidR="0060582D" w:rsidRDefault="0060582D" w:rsidP="000043E7">
            <w:r>
              <w:t xml:space="preserve">350</w:t>
            </w:r>
          </w:p>
        </w:tc>
        <w:tc>
          <w:tcPr>
            <w:tcW w:w="2618" w:type="dxa"/>
          </w:tcPr>
          <w:p w14:paraId="6D169513" w14:textId="77777777" w:rsidR="0060582D" w:rsidRDefault="0060582D" w:rsidP="000043E7">
            <w:r>
              <w:t xml:space="preserve">+3%</w:t>
            </w:r>
          </w:p>
        </w:tc>
      </w:tr>
      <w:tr w:rsidR="0060582D" w14:paraId="1661F949" w14:textId="77777777" w:rsidTr="000043E7">
        <w:tc>
          <w:tcPr>
            <w:tcW w:w="3510" w:type="dxa"/>
          </w:tcPr>
          <w:p w14:paraId="570D6316" w14:textId="77777777" w:rsidR="0060582D" w:rsidRDefault="0060582D" w:rsidP="000043E7">
            <w:r>
              <w:t xml:space="preserve">Asia</w:t>
            </w:r>
          </w:p>
        </w:tc>
        <w:tc>
          <w:tcPr>
            <w:tcW w:w="2552" w:type="dxa"/>
          </w:tcPr>
          <w:p w14:paraId="379F15DD" w14:textId="77777777" w:rsidR="0060582D" w:rsidRDefault="0060582D" w:rsidP="000043E7">
            <w:r>
              <w:t xml:space="preserve">100</w:t>
            </w:r>
          </w:p>
        </w:tc>
        <w:tc>
          <w:tcPr>
            <w:tcW w:w="2618" w:type="dxa"/>
          </w:tcPr>
          <w:p w14:paraId="6D169513" w14:textId="77777777" w:rsidR="0060582D" w:rsidRDefault="0060582D" w:rsidP="000043E7">
            <w:r>
              <w:t xml:space="preserve">-2%</w:t>
            </w:r>
          </w:p>
        </w:tc>
      </w:tr>
    </w:tbl>
    <w:p w14:paraId="46B17408" w14:textId="77777777" w:rsidR="0060582D" w:rsidRDefault="0060582D" w:rsidP="0060582D">
      <w:pPr>
        <w:pStyle w:val="Heading2"/>
      </w:pPr>
      <w:r>
        <w:t xml:space="preserve">Key Achievements</w:t>
      </w:r>
    </w:p>
    <w:p w14:paraId="12FB9878" w14:textId="77777777" w:rsidR="0060582D" w:rsidRDefault="0060582D" w:rsidP="0060582D">
      <w:pPr>
        <w:pStyle w:val="ListBullet"/>
        <w:tabs>
          <w:tab w:val="num" w:pos="360"/>
        </w:tabs>
        <w:ind w:left="360" w:hanging="360"/>
      </w:pPr>
      <w:r>
        <w:t xml:space="preserve">Lancio del nuovo prodotto 'Innovatech AI Suite' completato con successo.</w:t>
      </w:r>
    </w:p>
    <w:p w14:paraId="12FB9878" w14:textId="77777777" w:rsidR="0060582D" w:rsidRDefault="0060582D" w:rsidP="0060582D">
      <w:pPr>
        <w:pStyle w:val="ListBullet"/>
        <w:tabs>
          <w:tab w:val="num" w:pos="360"/>
        </w:tabs>
        <w:ind w:left="360" w:hanging="360"/>
      </w:pPr>
      <w:r>
        <w:t xml:space="preserve">Acquisizione di 50 nuovi clienti enterprise.</w:t>
      </w:r>
    </w:p>
    <w:p w14:paraId="12FB9878" w14:textId="77777777" w:rsidR="0060582D" w:rsidRDefault="0060582D" w:rsidP="0060582D">
      <w:pPr>
        <w:pStyle w:val="ListBullet"/>
        <w:tabs>
          <w:tab w:val="num" w:pos="360"/>
        </w:tabs>
        <w:ind w:left="360" w:hanging="360"/>
      </w:pPr>
      <w:r>
        <w:t xml:space="preserve">Riduzione del churn rate del 3% grazie a nuove iniziative di customer success.</w:t>
      </w:r>
    </w:p>
    <w:p w14:paraId="146CB2A2" w14:textId="77777777" w:rsidR="0060582D" w:rsidRDefault="0060582D" w:rsidP="0060582D">
      <w:pPr>
        <w:pStyle w:val="Heading2"/>
      </w:pPr>
      <w:r>
        <w:t>Conclusion</w:t>
      </w:r>
    </w:p>
    <w:p w14:paraId="290DADD8" w14:textId="77777777" w:rsidR="0060582D" w:rsidRDefault="0060582D" w:rsidP="0060582D">
      <w:r>
        <w:t xml:space="preserve">In conclusione, il Q3 2025 è stato un trimestre di successo, caratterizzato da una solida performance finanziaria e dal raggiungimento di importanti traguardi strategici. Le priorità per il Q4 includeranno l'ottimizzazione della supply chain e l'espansione delle campagne di marketing digitale nel mercato asiatico.</w:t>
      </w:r>
    </w:p>
    <w:p w14:paraId="6D260E79" w14:textId="77777777" w:rsidR="00D32569" w:rsidRDefault="00D32569"/>
    <w:sectPr w:rsidR="00D32569" w:rsidSect="00605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FD4F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1F3E6D"/>
    <w:rsid w:val="0029247E"/>
    <w:rsid w:val="0060582D"/>
    <w:rsid w:val="00BF5495"/>
    <w:rsid w:val="00D32569"/>
    <w:rsid w:val="00DC55D1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5786D"/>
  <w15:chartTrackingRefBased/>
  <w15:docId w15:val="{85C7A52A-6CC0-DB44-B5CF-7F1EB1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0582D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60582D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1</cp:revision>
  <dcterms:created xsi:type="dcterms:W3CDTF">2025-09-30T04:20:00Z</dcterms:created>
  <dcterms:modified xsi:type="dcterms:W3CDTF">2025-09-30T04:22:00Z</dcterms:modified>
  <dc:identifier/>
  <dc:language/>
</cp:coreProperties>
</file>